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30A28" w14:textId="77777777" w:rsidR="00DC74FE" w:rsidRDefault="001E4384">
      <w:pPr>
        <w:ind w:left="3"/>
        <w:rPr>
          <w:sz w:val="20"/>
          <w:szCs w:val="20"/>
        </w:rPr>
      </w:pPr>
      <w:bookmarkStart w:id="0" w:name="page1"/>
      <w:bookmarkEnd w:id="0"/>
      <w:r>
        <w:rPr>
          <w:rFonts w:ascii="Arial" w:eastAsia="Arial" w:hAnsi="Arial" w:cs="Arial"/>
          <w:color w:val="231F20"/>
          <w:sz w:val="32"/>
          <w:szCs w:val="32"/>
        </w:rPr>
        <w:t>Documento de información clave</w:t>
      </w:r>
    </w:p>
    <w:p w14:paraId="287DE56F" w14:textId="77777777" w:rsidR="00DC74FE" w:rsidRDefault="001E4384">
      <w:pPr>
        <w:spacing w:line="20" w:lineRule="exact"/>
        <w:rPr>
          <w:sz w:val="24"/>
          <w:szCs w:val="24"/>
        </w:rPr>
      </w:pPr>
      <w:r>
        <w:rPr>
          <w:noProof/>
          <w:sz w:val="24"/>
          <w:szCs w:val="24"/>
        </w:rPr>
        <w:drawing>
          <wp:anchor distT="0" distB="0" distL="114300" distR="114300" simplePos="0" relativeHeight="251649536" behindDoc="1" locked="0" layoutInCell="0" allowOverlap="1" wp14:anchorId="56C033A7" wp14:editId="07777777">
            <wp:simplePos x="0" y="0"/>
            <wp:positionH relativeFrom="column">
              <wp:posOffset>4608195</wp:posOffset>
            </wp:positionH>
            <wp:positionV relativeFrom="paragraph">
              <wp:posOffset>-231140</wp:posOffset>
            </wp:positionV>
            <wp:extent cx="2117090" cy="4679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117090" cy="467995"/>
                    </a:xfrm>
                    <a:prstGeom prst="rect">
                      <a:avLst/>
                    </a:prstGeom>
                    <a:noFill/>
                  </pic:spPr>
                </pic:pic>
              </a:graphicData>
            </a:graphic>
          </wp:anchor>
        </w:drawing>
      </w:r>
    </w:p>
    <w:p w14:paraId="672A6659" w14:textId="77777777" w:rsidR="00DC74FE" w:rsidRDefault="00DC74FE">
      <w:pPr>
        <w:spacing w:line="89" w:lineRule="exact"/>
        <w:rPr>
          <w:sz w:val="24"/>
          <w:szCs w:val="24"/>
        </w:rPr>
      </w:pPr>
    </w:p>
    <w:p w14:paraId="68D74B49" w14:textId="77777777" w:rsidR="00DC74FE" w:rsidRDefault="001E4384">
      <w:pPr>
        <w:ind w:left="3"/>
        <w:rPr>
          <w:sz w:val="20"/>
          <w:szCs w:val="20"/>
        </w:rPr>
      </w:pPr>
      <w:r>
        <w:rPr>
          <w:rFonts w:ascii="Arial" w:eastAsia="Arial" w:hAnsi="Arial" w:cs="Arial"/>
          <w:color w:val="231F20"/>
          <w:sz w:val="24"/>
          <w:szCs w:val="24"/>
        </w:rPr>
        <w:t>Propósito</w:t>
      </w:r>
    </w:p>
    <w:p w14:paraId="0A37501D" w14:textId="77777777" w:rsidR="00DC74FE" w:rsidRDefault="00DC74FE">
      <w:pPr>
        <w:spacing w:line="112" w:lineRule="exact"/>
        <w:rPr>
          <w:sz w:val="24"/>
          <w:szCs w:val="24"/>
        </w:rPr>
      </w:pPr>
    </w:p>
    <w:p w14:paraId="707F6C12" w14:textId="77777777" w:rsidR="00DC74FE" w:rsidRDefault="001E4384">
      <w:pPr>
        <w:spacing w:line="248" w:lineRule="auto"/>
        <w:ind w:left="3"/>
        <w:rPr>
          <w:sz w:val="20"/>
          <w:szCs w:val="20"/>
        </w:rPr>
      </w:pPr>
      <w:r>
        <w:rPr>
          <w:rFonts w:ascii="Arial" w:eastAsia="Arial" w:hAnsi="Arial" w:cs="Arial"/>
          <w:color w:val="231F20"/>
          <w:sz w:val="16"/>
          <w:szCs w:val="16"/>
        </w:rPr>
        <w:t>Este documento le proporciona información clave sobre este fondo de inversión. No es material de marketing.</w:t>
      </w:r>
      <w:r>
        <w:rPr>
          <w:rFonts w:ascii="Arial" w:eastAsia="Arial" w:hAnsi="Arial" w:cs="Arial"/>
          <w:color w:val="231F20"/>
          <w:sz w:val="16"/>
          <w:szCs w:val="16"/>
        </w:rPr>
        <w:t xml:space="preserve"> La información es requerida por ley para ayudarle a entender la naturaleza, riesgos, costos, ganancias y pérdidas potenciales de este Fondo y para ayudarle a compararlo con otros fondos.</w:t>
      </w:r>
    </w:p>
    <w:p w14:paraId="6003F00F" w14:textId="77777777" w:rsidR="00DC74FE" w:rsidRDefault="001E4384">
      <w:pPr>
        <w:spacing w:line="20" w:lineRule="exact"/>
        <w:rPr>
          <w:sz w:val="24"/>
          <w:szCs w:val="24"/>
        </w:rPr>
      </w:pPr>
      <w:r>
        <w:rPr>
          <w:noProof/>
          <w:sz w:val="24"/>
          <w:szCs w:val="24"/>
        </w:rPr>
        <w:drawing>
          <wp:anchor distT="0" distB="0" distL="114300" distR="114300" simplePos="0" relativeHeight="251650560" behindDoc="1" locked="0" layoutInCell="0" allowOverlap="1" wp14:anchorId="61471AB8" wp14:editId="07777777">
            <wp:simplePos x="0" y="0"/>
            <wp:positionH relativeFrom="column">
              <wp:posOffset>-18415</wp:posOffset>
            </wp:positionH>
            <wp:positionV relativeFrom="paragraph">
              <wp:posOffset>-27305</wp:posOffset>
            </wp:positionV>
            <wp:extent cx="7094220" cy="44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5DAB6C7B" w14:textId="77777777" w:rsidR="00DC74FE" w:rsidRDefault="00DC74FE">
      <w:pPr>
        <w:spacing w:line="5" w:lineRule="exact"/>
        <w:rPr>
          <w:sz w:val="24"/>
          <w:szCs w:val="24"/>
        </w:rPr>
      </w:pPr>
    </w:p>
    <w:p w14:paraId="4697ECF2" w14:textId="77777777" w:rsidR="00DC74FE" w:rsidRDefault="001E4384">
      <w:pPr>
        <w:ind w:left="3"/>
        <w:rPr>
          <w:sz w:val="20"/>
          <w:szCs w:val="20"/>
        </w:rPr>
      </w:pPr>
      <w:r>
        <w:rPr>
          <w:rFonts w:ascii="Arial" w:eastAsia="Arial" w:hAnsi="Arial" w:cs="Arial"/>
          <w:color w:val="231F20"/>
          <w:sz w:val="24"/>
          <w:szCs w:val="24"/>
        </w:rPr>
        <w:t>Producto</w:t>
      </w:r>
    </w:p>
    <w:p w14:paraId="02EB378F" w14:textId="77777777" w:rsidR="00DC74FE" w:rsidRDefault="00DC74FE">
      <w:pPr>
        <w:spacing w:line="108" w:lineRule="exact"/>
        <w:rPr>
          <w:sz w:val="24"/>
          <w:szCs w:val="24"/>
        </w:rPr>
      </w:pPr>
    </w:p>
    <w:p w14:paraId="4CFAFC09" w14:textId="77777777" w:rsidR="00DC74FE" w:rsidRDefault="001E4384">
      <w:pPr>
        <w:ind w:left="3"/>
        <w:rPr>
          <w:sz w:val="20"/>
          <w:szCs w:val="20"/>
        </w:rPr>
      </w:pPr>
      <w:r>
        <w:rPr>
          <w:rFonts w:ascii="Arial" w:eastAsia="Arial" w:hAnsi="Arial" w:cs="Arial"/>
          <w:b/>
          <w:bCs/>
          <w:color w:val="231F20"/>
          <w:sz w:val="16"/>
          <w:szCs w:val="16"/>
        </w:rPr>
        <w:t>Producto:</w:t>
      </w:r>
      <w:r>
        <w:rPr>
          <w:rFonts w:ascii="Arial" w:eastAsia="Arial" w:hAnsi="Arial" w:cs="Arial"/>
          <w:color w:val="231F20"/>
          <w:sz w:val="16"/>
          <w:szCs w:val="16"/>
        </w:rPr>
        <w:t xml:space="preserve"> Vanguard S&amp;P 500 UCITS ETF (el "Fondo") - (US</w:t>
      </w:r>
      <w:r>
        <w:rPr>
          <w:rFonts w:ascii="Arial" w:eastAsia="Arial" w:hAnsi="Arial" w:cs="Arial"/>
          <w:color w:val="231F20"/>
          <w:sz w:val="16"/>
          <w:szCs w:val="16"/>
        </w:rPr>
        <w:t>D) Acumulación</w:t>
      </w:r>
    </w:p>
    <w:p w14:paraId="6A05A809" w14:textId="77777777" w:rsidR="00DC74FE" w:rsidRDefault="00DC74FE">
      <w:pPr>
        <w:spacing w:line="54" w:lineRule="exact"/>
        <w:rPr>
          <w:sz w:val="24"/>
          <w:szCs w:val="24"/>
        </w:rPr>
      </w:pPr>
    </w:p>
    <w:p w14:paraId="72E4E4BE" w14:textId="77777777" w:rsidR="00DC74FE" w:rsidRDefault="001E4384">
      <w:pPr>
        <w:ind w:left="3"/>
        <w:rPr>
          <w:sz w:val="20"/>
          <w:szCs w:val="20"/>
        </w:rPr>
      </w:pPr>
      <w:r>
        <w:rPr>
          <w:rFonts w:ascii="Arial" w:eastAsia="Arial" w:hAnsi="Arial" w:cs="Arial"/>
          <w:color w:val="231F20"/>
          <w:sz w:val="16"/>
          <w:szCs w:val="16"/>
        </w:rPr>
        <w:t>IE00BFMXXD54</w:t>
      </w:r>
    </w:p>
    <w:p w14:paraId="5A39BBE3" w14:textId="77777777" w:rsidR="00DC74FE" w:rsidRDefault="00DC74FE">
      <w:pPr>
        <w:spacing w:line="46" w:lineRule="exact"/>
        <w:rPr>
          <w:sz w:val="24"/>
          <w:szCs w:val="24"/>
        </w:rPr>
      </w:pPr>
    </w:p>
    <w:p w14:paraId="60D8EF50" w14:textId="77777777" w:rsidR="00DC74FE" w:rsidRDefault="001E4384">
      <w:pPr>
        <w:ind w:left="3"/>
        <w:rPr>
          <w:sz w:val="20"/>
          <w:szCs w:val="20"/>
        </w:rPr>
      </w:pPr>
      <w:r>
        <w:rPr>
          <w:rFonts w:ascii="Arial" w:eastAsia="Arial" w:hAnsi="Arial" w:cs="Arial"/>
          <w:b/>
          <w:bCs/>
          <w:color w:val="231F20"/>
          <w:sz w:val="16"/>
          <w:szCs w:val="16"/>
        </w:rPr>
        <w:t>Vanguard Group (Ireland) Limited ("VGIL")</w:t>
      </w:r>
    </w:p>
    <w:p w14:paraId="41C8F396" w14:textId="77777777" w:rsidR="00DC74FE" w:rsidRDefault="00DC74FE">
      <w:pPr>
        <w:spacing w:line="54" w:lineRule="exact"/>
        <w:rPr>
          <w:sz w:val="24"/>
          <w:szCs w:val="24"/>
        </w:rPr>
      </w:pPr>
    </w:p>
    <w:p w14:paraId="2FDDE37F" w14:textId="77777777" w:rsidR="00DC74FE" w:rsidRDefault="001E4384">
      <w:pPr>
        <w:ind w:left="3"/>
        <w:rPr>
          <w:sz w:val="20"/>
          <w:szCs w:val="20"/>
        </w:rPr>
      </w:pPr>
      <w:r>
        <w:rPr>
          <w:rFonts w:ascii="Arial" w:eastAsia="Arial" w:hAnsi="Arial" w:cs="Arial"/>
          <w:color w:val="231F20"/>
          <w:sz w:val="16"/>
          <w:szCs w:val="16"/>
        </w:rPr>
        <w:t>Llame al +44 207 489 4305 para más información - https://global.vanguard.com - Este documento de información clave tiene fecha 13/03/2023.</w:t>
      </w:r>
    </w:p>
    <w:p w14:paraId="72A3D3EC" w14:textId="77777777" w:rsidR="00DC74FE" w:rsidRDefault="00DC74FE">
      <w:pPr>
        <w:spacing w:line="50" w:lineRule="exact"/>
        <w:rPr>
          <w:sz w:val="24"/>
          <w:szCs w:val="24"/>
        </w:rPr>
      </w:pPr>
    </w:p>
    <w:p w14:paraId="4AC49D83" w14:textId="77777777" w:rsidR="00DC74FE" w:rsidRDefault="001E4384">
      <w:pPr>
        <w:ind w:left="3"/>
        <w:rPr>
          <w:sz w:val="20"/>
          <w:szCs w:val="20"/>
        </w:rPr>
      </w:pPr>
      <w:r>
        <w:rPr>
          <w:rFonts w:ascii="Arial" w:eastAsia="Arial" w:hAnsi="Arial" w:cs="Arial"/>
          <w:color w:val="231F20"/>
          <w:sz w:val="16"/>
          <w:szCs w:val="16"/>
        </w:rPr>
        <w:t>El Central Bank of Ireland (en lo sucesivo,</w:t>
      </w:r>
      <w:r>
        <w:rPr>
          <w:rFonts w:ascii="Arial" w:eastAsia="Arial" w:hAnsi="Arial" w:cs="Arial"/>
          <w:color w:val="231F20"/>
          <w:sz w:val="16"/>
          <w:szCs w:val="16"/>
        </w:rPr>
        <w:t xml:space="preserve"> “el Central Bank”) es responsable de la supervisión de la VIGIL en relación con este documento de datos fundamentales.</w:t>
      </w:r>
    </w:p>
    <w:p w14:paraId="0D0B940D" w14:textId="77777777" w:rsidR="00DC74FE" w:rsidRDefault="00DC74FE">
      <w:pPr>
        <w:spacing w:line="50" w:lineRule="exact"/>
        <w:rPr>
          <w:sz w:val="24"/>
          <w:szCs w:val="24"/>
        </w:rPr>
      </w:pPr>
    </w:p>
    <w:p w14:paraId="6BB5F837" w14:textId="77777777" w:rsidR="00DC74FE" w:rsidRDefault="001E4384">
      <w:pPr>
        <w:ind w:left="3"/>
        <w:rPr>
          <w:sz w:val="20"/>
          <w:szCs w:val="20"/>
        </w:rPr>
      </w:pPr>
      <w:r>
        <w:rPr>
          <w:rFonts w:ascii="Arial" w:eastAsia="Arial" w:hAnsi="Arial" w:cs="Arial"/>
          <w:color w:val="231F20"/>
          <w:sz w:val="16"/>
          <w:szCs w:val="16"/>
        </w:rPr>
        <w:t>El Fondo está autorizado en Irlanda y se ha registrado para su venta en otros Estados miembros del EEE.</w:t>
      </w:r>
    </w:p>
    <w:p w14:paraId="0E27B00A" w14:textId="77777777" w:rsidR="00DC74FE" w:rsidRDefault="00DC74FE">
      <w:pPr>
        <w:spacing w:line="46" w:lineRule="exact"/>
        <w:rPr>
          <w:sz w:val="24"/>
          <w:szCs w:val="24"/>
        </w:rPr>
      </w:pPr>
    </w:p>
    <w:p w14:paraId="17F672F6" w14:textId="77777777" w:rsidR="00DC74FE" w:rsidRDefault="001E4384">
      <w:pPr>
        <w:ind w:left="3"/>
        <w:rPr>
          <w:sz w:val="20"/>
          <w:szCs w:val="20"/>
        </w:rPr>
      </w:pPr>
      <w:r>
        <w:rPr>
          <w:rFonts w:ascii="Arial" w:eastAsia="Arial" w:hAnsi="Arial" w:cs="Arial"/>
          <w:b/>
          <w:bCs/>
          <w:color w:val="231F20"/>
          <w:sz w:val="16"/>
          <w:szCs w:val="16"/>
        </w:rPr>
        <w:t>Está a punto de comprar un Fon</w:t>
      </w:r>
      <w:r>
        <w:rPr>
          <w:rFonts w:ascii="Arial" w:eastAsia="Arial" w:hAnsi="Arial" w:cs="Arial"/>
          <w:b/>
          <w:bCs/>
          <w:color w:val="231F20"/>
          <w:sz w:val="16"/>
          <w:szCs w:val="16"/>
        </w:rPr>
        <w:t>do que no es sencillo y puede ser difícil de entender.</w:t>
      </w:r>
    </w:p>
    <w:p w14:paraId="499E7412" w14:textId="77777777" w:rsidR="00DC74FE" w:rsidRDefault="001E4384">
      <w:pPr>
        <w:spacing w:line="20" w:lineRule="exact"/>
        <w:rPr>
          <w:sz w:val="24"/>
          <w:szCs w:val="24"/>
        </w:rPr>
      </w:pPr>
      <w:r>
        <w:rPr>
          <w:noProof/>
          <w:sz w:val="24"/>
          <w:szCs w:val="24"/>
        </w:rPr>
        <w:drawing>
          <wp:anchor distT="0" distB="0" distL="114300" distR="114300" simplePos="0" relativeHeight="251651584" behindDoc="1" locked="0" layoutInCell="0" allowOverlap="1" wp14:anchorId="6EC5CFFA" wp14:editId="07777777">
            <wp:simplePos x="0" y="0"/>
            <wp:positionH relativeFrom="column">
              <wp:posOffset>-18415</wp:posOffset>
            </wp:positionH>
            <wp:positionV relativeFrom="paragraph">
              <wp:posOffset>4445</wp:posOffset>
            </wp:positionV>
            <wp:extent cx="7094220" cy="444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60061E4C" w14:textId="77777777" w:rsidR="00DC74FE" w:rsidRDefault="00DC74FE">
      <w:pPr>
        <w:sectPr w:rsidR="00DC74FE">
          <w:pgSz w:w="11900" w:h="16838"/>
          <w:pgMar w:top="552" w:right="406" w:bottom="1440" w:left="397" w:header="0" w:footer="0" w:gutter="0"/>
          <w:cols w:space="720" w:equalWidth="0">
            <w:col w:w="11103"/>
          </w:cols>
        </w:sectPr>
      </w:pPr>
    </w:p>
    <w:p w14:paraId="44EAFD9C" w14:textId="77777777" w:rsidR="00DC74FE" w:rsidRDefault="00DC74FE">
      <w:pPr>
        <w:spacing w:line="88" w:lineRule="exact"/>
        <w:rPr>
          <w:sz w:val="24"/>
          <w:szCs w:val="24"/>
        </w:rPr>
      </w:pPr>
    </w:p>
    <w:p w14:paraId="1D1022FF" w14:textId="77777777" w:rsidR="00DC74FE" w:rsidRDefault="001E4384">
      <w:pPr>
        <w:ind w:left="3"/>
        <w:rPr>
          <w:sz w:val="20"/>
          <w:szCs w:val="20"/>
        </w:rPr>
      </w:pPr>
      <w:r>
        <w:rPr>
          <w:rFonts w:ascii="Arial" w:eastAsia="Arial" w:hAnsi="Arial" w:cs="Arial"/>
          <w:color w:val="231F20"/>
          <w:sz w:val="24"/>
          <w:szCs w:val="24"/>
        </w:rPr>
        <w:t>¿Qué es este producto?</w:t>
      </w:r>
    </w:p>
    <w:p w14:paraId="4B94D5A5" w14:textId="77777777" w:rsidR="00DC74FE" w:rsidRDefault="00DC74FE">
      <w:pPr>
        <w:spacing w:line="108" w:lineRule="exact"/>
        <w:rPr>
          <w:sz w:val="24"/>
          <w:szCs w:val="24"/>
        </w:rPr>
      </w:pPr>
    </w:p>
    <w:p w14:paraId="104A0979" w14:textId="77777777" w:rsidR="00DC74FE" w:rsidRDefault="001E4384">
      <w:pPr>
        <w:spacing w:line="253" w:lineRule="auto"/>
        <w:ind w:left="3"/>
        <w:jc w:val="both"/>
        <w:rPr>
          <w:sz w:val="20"/>
          <w:szCs w:val="20"/>
        </w:rPr>
      </w:pPr>
      <w:r>
        <w:rPr>
          <w:rFonts w:ascii="Arial" w:eastAsia="Arial" w:hAnsi="Arial" w:cs="Arial"/>
          <w:b/>
          <w:bCs/>
          <w:color w:val="231F20"/>
          <w:sz w:val="16"/>
          <w:szCs w:val="16"/>
        </w:rPr>
        <w:t>Tipo:</w:t>
      </w:r>
      <w:r>
        <w:rPr>
          <w:rFonts w:ascii="Arial" w:eastAsia="Arial" w:hAnsi="Arial" w:cs="Arial"/>
          <w:color w:val="231F20"/>
          <w:sz w:val="16"/>
          <w:szCs w:val="16"/>
        </w:rPr>
        <w:t xml:space="preserve"> El Fondo es un subfondo de Vanguard Funds plc ("VF"), un OICVM autorizado por el Central Bank of Ireland.</w:t>
      </w:r>
    </w:p>
    <w:p w14:paraId="3DEEC669" w14:textId="77777777" w:rsidR="00DC74FE" w:rsidRDefault="00DC74FE">
      <w:pPr>
        <w:spacing w:line="6" w:lineRule="exact"/>
        <w:rPr>
          <w:sz w:val="24"/>
          <w:szCs w:val="24"/>
        </w:rPr>
      </w:pPr>
    </w:p>
    <w:p w14:paraId="539BD1E4" w14:textId="77777777" w:rsidR="00DC74FE" w:rsidRDefault="001E4384">
      <w:pPr>
        <w:spacing w:line="227" w:lineRule="auto"/>
        <w:ind w:left="3"/>
        <w:jc w:val="both"/>
        <w:rPr>
          <w:sz w:val="20"/>
          <w:szCs w:val="20"/>
        </w:rPr>
      </w:pPr>
      <w:r>
        <w:rPr>
          <w:rFonts w:ascii="Arial" w:eastAsia="Arial" w:hAnsi="Arial" w:cs="Arial"/>
          <w:b/>
          <w:bCs/>
          <w:color w:val="231F20"/>
          <w:sz w:val="16"/>
          <w:szCs w:val="16"/>
        </w:rPr>
        <w:t>Plazo:</w:t>
      </w:r>
      <w:r>
        <w:rPr>
          <w:rFonts w:ascii="Arial" w:eastAsia="Arial" w:hAnsi="Arial" w:cs="Arial"/>
          <w:color w:val="231F20"/>
          <w:sz w:val="16"/>
          <w:szCs w:val="16"/>
        </w:rPr>
        <w:t xml:space="preserve"> El Fondo no tiene una fecha de vencimiento fija, pero puede ser cancelado en ciertas circunstancias como se describe en el folleto de VF (el </w:t>
      </w:r>
      <w:r>
        <w:rPr>
          <w:rFonts w:ascii="Arial" w:eastAsia="Arial" w:hAnsi="Arial" w:cs="Arial"/>
          <w:color w:val="231F20"/>
          <w:sz w:val="16"/>
          <w:szCs w:val="16"/>
        </w:rPr>
        <w:t>“Folleto”), incluso si el valor neto del activo del Fondo cae por debajo de US$100 millones o su equivalente en otra moneda.</w:t>
      </w:r>
    </w:p>
    <w:p w14:paraId="3656B9AB" w14:textId="77777777" w:rsidR="00DC74FE" w:rsidRDefault="00DC74FE">
      <w:pPr>
        <w:spacing w:line="18" w:lineRule="exact"/>
        <w:rPr>
          <w:sz w:val="24"/>
          <w:szCs w:val="24"/>
        </w:rPr>
      </w:pPr>
    </w:p>
    <w:p w14:paraId="1005A330" w14:textId="77777777" w:rsidR="00DC74FE" w:rsidRDefault="001E4384">
      <w:pPr>
        <w:spacing w:line="234" w:lineRule="auto"/>
        <w:ind w:left="3"/>
        <w:jc w:val="both"/>
        <w:rPr>
          <w:sz w:val="20"/>
          <w:szCs w:val="20"/>
        </w:rPr>
      </w:pPr>
      <w:r>
        <w:rPr>
          <w:rFonts w:ascii="Arial" w:eastAsia="Arial" w:hAnsi="Arial" w:cs="Arial"/>
          <w:b/>
          <w:bCs/>
          <w:color w:val="231F20"/>
          <w:sz w:val="16"/>
          <w:szCs w:val="16"/>
        </w:rPr>
        <w:t>Objetivos:</w:t>
      </w:r>
      <w:r>
        <w:rPr>
          <w:rFonts w:ascii="Arial" w:eastAsia="Arial" w:hAnsi="Arial" w:cs="Arial"/>
          <w:color w:val="231F20"/>
          <w:sz w:val="16"/>
          <w:szCs w:val="16"/>
        </w:rPr>
        <w:t xml:space="preserve"> La Caja emplea un enfoque de gestión pasiva -o indexación- de las inversiones, mediante la adquisición física de valore</w:t>
      </w:r>
      <w:r>
        <w:rPr>
          <w:rFonts w:ascii="Arial" w:eastAsia="Arial" w:hAnsi="Arial" w:cs="Arial"/>
          <w:color w:val="231F20"/>
          <w:sz w:val="16"/>
          <w:szCs w:val="16"/>
        </w:rPr>
        <w:t>s, y procura seguir el desempeño del Índice 500 de Standard and Poor's (el “Índice”).</w:t>
      </w:r>
    </w:p>
    <w:p w14:paraId="45FB0818" w14:textId="77777777" w:rsidR="00DC74FE" w:rsidRDefault="00DC74FE">
      <w:pPr>
        <w:spacing w:line="20" w:lineRule="exact"/>
        <w:rPr>
          <w:sz w:val="24"/>
          <w:szCs w:val="24"/>
        </w:rPr>
      </w:pPr>
    </w:p>
    <w:p w14:paraId="5B7AB28D" w14:textId="77777777" w:rsidR="00DC74FE" w:rsidRDefault="001E4384">
      <w:pPr>
        <w:ind w:left="3"/>
        <w:rPr>
          <w:sz w:val="20"/>
          <w:szCs w:val="20"/>
        </w:rPr>
      </w:pPr>
      <w:r>
        <w:rPr>
          <w:rFonts w:ascii="Arial" w:eastAsia="Arial" w:hAnsi="Arial" w:cs="Arial"/>
          <w:color w:val="231F20"/>
          <w:sz w:val="16"/>
          <w:szCs w:val="16"/>
        </w:rPr>
        <w:t>El Índice está compuesto por acciones de compañías de gran tamaño en los Estados Unidos.</w:t>
      </w:r>
    </w:p>
    <w:p w14:paraId="049F31CB" w14:textId="77777777" w:rsidR="00DC74FE" w:rsidRDefault="00DC74FE">
      <w:pPr>
        <w:spacing w:line="50" w:lineRule="exact"/>
        <w:rPr>
          <w:sz w:val="24"/>
          <w:szCs w:val="24"/>
        </w:rPr>
      </w:pPr>
    </w:p>
    <w:p w14:paraId="26E9DB37" w14:textId="77777777" w:rsidR="00DC74FE" w:rsidRDefault="001E4384">
      <w:pPr>
        <w:ind w:left="3"/>
        <w:rPr>
          <w:sz w:val="20"/>
          <w:szCs w:val="20"/>
        </w:rPr>
      </w:pPr>
      <w:r>
        <w:rPr>
          <w:rFonts w:ascii="Arial" w:eastAsia="Arial" w:hAnsi="Arial" w:cs="Arial"/>
          <w:color w:val="231F20"/>
          <w:sz w:val="16"/>
          <w:szCs w:val="16"/>
        </w:rPr>
        <w:t>El Fondo trata de:</w:t>
      </w:r>
    </w:p>
    <w:p w14:paraId="53128261" w14:textId="77777777" w:rsidR="00DC74FE" w:rsidRDefault="00DC74FE">
      <w:pPr>
        <w:spacing w:line="31" w:lineRule="exact"/>
        <w:rPr>
          <w:sz w:val="24"/>
          <w:szCs w:val="24"/>
        </w:rPr>
      </w:pPr>
    </w:p>
    <w:p w14:paraId="351408A7" w14:textId="77777777" w:rsidR="00DC74FE" w:rsidRDefault="001E4384">
      <w:pPr>
        <w:numPr>
          <w:ilvl w:val="0"/>
          <w:numId w:val="1"/>
        </w:numPr>
        <w:tabs>
          <w:tab w:val="left" w:pos="243"/>
        </w:tabs>
        <w:spacing w:line="222" w:lineRule="auto"/>
        <w:ind w:left="3" w:hanging="3"/>
        <w:jc w:val="both"/>
        <w:rPr>
          <w:rFonts w:ascii="Arial" w:eastAsia="Arial" w:hAnsi="Arial" w:cs="Arial"/>
          <w:color w:val="231F20"/>
          <w:sz w:val="16"/>
          <w:szCs w:val="16"/>
        </w:rPr>
      </w:pPr>
      <w:r>
        <w:rPr>
          <w:rFonts w:ascii="Arial" w:eastAsia="Arial" w:hAnsi="Arial" w:cs="Arial"/>
          <w:color w:val="231F20"/>
          <w:sz w:val="16"/>
          <w:szCs w:val="16"/>
        </w:rPr>
        <w:t>Realizar un seguimiento del rendimiento del Índice invirtiendo en todos los valores constitutivos del Índice en la misma proporción que el Índice. Cuando no sea posible reproducir plenamente, el Fondo utilizará un proceso de muestreo.</w:t>
      </w:r>
    </w:p>
    <w:p w14:paraId="62486C05" w14:textId="77777777" w:rsidR="00DC74FE" w:rsidRDefault="00DC74FE">
      <w:pPr>
        <w:spacing w:line="1" w:lineRule="exact"/>
        <w:rPr>
          <w:rFonts w:ascii="Arial" w:eastAsia="Arial" w:hAnsi="Arial" w:cs="Arial"/>
          <w:color w:val="231F20"/>
          <w:sz w:val="16"/>
          <w:szCs w:val="16"/>
        </w:rPr>
      </w:pPr>
    </w:p>
    <w:p w14:paraId="5FF5C14C" w14:textId="77777777" w:rsidR="00DC74FE" w:rsidRDefault="001E4384">
      <w:pPr>
        <w:numPr>
          <w:ilvl w:val="0"/>
          <w:numId w:val="1"/>
        </w:numPr>
        <w:tabs>
          <w:tab w:val="left" w:pos="202"/>
        </w:tabs>
        <w:spacing w:line="222" w:lineRule="auto"/>
        <w:ind w:left="3" w:hanging="3"/>
        <w:jc w:val="both"/>
        <w:rPr>
          <w:rFonts w:ascii="Arial" w:eastAsia="Arial" w:hAnsi="Arial" w:cs="Arial"/>
          <w:color w:val="231F20"/>
          <w:sz w:val="16"/>
          <w:szCs w:val="16"/>
        </w:rPr>
      </w:pPr>
      <w:r>
        <w:rPr>
          <w:rFonts w:ascii="Arial" w:eastAsia="Arial" w:hAnsi="Arial" w:cs="Arial"/>
          <w:color w:val="231F20"/>
          <w:sz w:val="16"/>
          <w:szCs w:val="16"/>
        </w:rPr>
        <w:t>Seguir invirtiendo plenamente, salvo en condiciones extraordinarias de mercado, políticas o similares, en las que el Fondo pueda apartarse temporalmente de su política de inversión para evitar pérdidas.</w:t>
      </w:r>
    </w:p>
    <w:p w14:paraId="4101652C" w14:textId="77777777" w:rsidR="00DC74FE" w:rsidRDefault="00DC74FE">
      <w:pPr>
        <w:spacing w:line="21" w:lineRule="exact"/>
        <w:rPr>
          <w:sz w:val="24"/>
          <w:szCs w:val="24"/>
        </w:rPr>
      </w:pPr>
    </w:p>
    <w:p w14:paraId="02DD8968" w14:textId="77777777" w:rsidR="00DC74FE" w:rsidRDefault="001E4384">
      <w:pPr>
        <w:spacing w:line="232" w:lineRule="auto"/>
        <w:ind w:left="3"/>
        <w:jc w:val="both"/>
        <w:rPr>
          <w:sz w:val="20"/>
          <w:szCs w:val="20"/>
        </w:rPr>
      </w:pPr>
      <w:r>
        <w:rPr>
          <w:rFonts w:ascii="Arial" w:eastAsia="Arial" w:hAnsi="Arial" w:cs="Arial"/>
          <w:color w:val="231F20"/>
          <w:sz w:val="16"/>
          <w:szCs w:val="16"/>
        </w:rPr>
        <w:t>La Caja invierte en valores denominados en monedas d</w:t>
      </w:r>
      <w:r>
        <w:rPr>
          <w:rFonts w:ascii="Arial" w:eastAsia="Arial" w:hAnsi="Arial" w:cs="Arial"/>
          <w:color w:val="231F20"/>
          <w:sz w:val="16"/>
          <w:szCs w:val="16"/>
        </w:rPr>
        <w:t>istintas de la moneda de cotización. Las variaciones de los tipos de cambio pueden afectar al rendimiento de las inversiones.</w:t>
      </w:r>
    </w:p>
    <w:p w14:paraId="4B99056E" w14:textId="77777777" w:rsidR="00DC74FE" w:rsidRDefault="00DC74FE">
      <w:pPr>
        <w:spacing w:line="20" w:lineRule="exact"/>
        <w:rPr>
          <w:sz w:val="24"/>
          <w:szCs w:val="24"/>
        </w:rPr>
      </w:pPr>
    </w:p>
    <w:p w14:paraId="43D0DF6D" w14:textId="77777777" w:rsidR="00DC74FE" w:rsidRDefault="001E4384">
      <w:pPr>
        <w:spacing w:line="226" w:lineRule="auto"/>
        <w:ind w:left="3"/>
        <w:jc w:val="both"/>
        <w:rPr>
          <w:sz w:val="20"/>
          <w:szCs w:val="20"/>
        </w:rPr>
      </w:pPr>
      <w:r>
        <w:rPr>
          <w:rFonts w:ascii="Arial" w:eastAsia="Arial" w:hAnsi="Arial" w:cs="Arial"/>
          <w:color w:val="231F20"/>
          <w:sz w:val="16"/>
          <w:szCs w:val="16"/>
        </w:rPr>
        <w:t>El Fondo puede utilizar derivados para reducir el riesgo o el costo y/o generar ingresos o crecimiento adicionales. Un derivado e</w:t>
      </w:r>
      <w:r>
        <w:rPr>
          <w:rFonts w:ascii="Arial" w:eastAsia="Arial" w:hAnsi="Arial" w:cs="Arial"/>
          <w:color w:val="231F20"/>
          <w:sz w:val="16"/>
          <w:szCs w:val="16"/>
        </w:rPr>
        <w:t>s un contrato financiero cuyo valor se basa en el valor de un activo financiero (como una acción, un bono o una moneda) o un índice de mercado.</w:t>
      </w:r>
    </w:p>
    <w:p w14:paraId="0500147E" w14:textId="77777777" w:rsidR="00DC74FE" w:rsidRDefault="001E4384">
      <w:pPr>
        <w:spacing w:line="20" w:lineRule="exact"/>
        <w:rPr>
          <w:sz w:val="24"/>
          <w:szCs w:val="24"/>
        </w:rPr>
      </w:pPr>
      <w:r>
        <w:rPr>
          <w:noProof/>
          <w:sz w:val="24"/>
          <w:szCs w:val="24"/>
        </w:rPr>
        <w:drawing>
          <wp:anchor distT="0" distB="0" distL="114300" distR="114300" simplePos="0" relativeHeight="251652608" behindDoc="1" locked="0" layoutInCell="0" allowOverlap="1" wp14:anchorId="31D12142" wp14:editId="07777777">
            <wp:simplePos x="0" y="0"/>
            <wp:positionH relativeFrom="column">
              <wp:posOffset>-18415</wp:posOffset>
            </wp:positionH>
            <wp:positionV relativeFrom="paragraph">
              <wp:posOffset>48895</wp:posOffset>
            </wp:positionV>
            <wp:extent cx="7094220" cy="444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1299C43A" w14:textId="77777777" w:rsidR="00DC74FE" w:rsidRDefault="001E4384">
      <w:pPr>
        <w:spacing w:line="20" w:lineRule="exact"/>
        <w:rPr>
          <w:sz w:val="24"/>
          <w:szCs w:val="24"/>
        </w:rPr>
      </w:pPr>
      <w:r>
        <w:rPr>
          <w:sz w:val="24"/>
          <w:szCs w:val="24"/>
        </w:rPr>
        <w:br w:type="column"/>
      </w:r>
    </w:p>
    <w:p w14:paraId="4DDBEF00" w14:textId="77777777" w:rsidR="00DC74FE" w:rsidRDefault="00DC74FE">
      <w:pPr>
        <w:spacing w:line="200" w:lineRule="exact"/>
        <w:rPr>
          <w:sz w:val="24"/>
          <w:szCs w:val="24"/>
        </w:rPr>
      </w:pPr>
    </w:p>
    <w:p w14:paraId="3461D779" w14:textId="77777777" w:rsidR="00DC74FE" w:rsidRDefault="00DC74FE">
      <w:pPr>
        <w:spacing w:line="256" w:lineRule="exact"/>
        <w:rPr>
          <w:sz w:val="24"/>
          <w:szCs w:val="24"/>
        </w:rPr>
      </w:pPr>
    </w:p>
    <w:p w14:paraId="6E2336E6" w14:textId="77777777" w:rsidR="00DC74FE" w:rsidRDefault="001E4384">
      <w:pPr>
        <w:spacing w:line="226" w:lineRule="auto"/>
        <w:jc w:val="both"/>
        <w:rPr>
          <w:sz w:val="20"/>
          <w:szCs w:val="20"/>
        </w:rPr>
      </w:pPr>
      <w:r>
        <w:rPr>
          <w:rFonts w:ascii="Arial" w:eastAsia="Arial" w:hAnsi="Arial" w:cs="Arial"/>
          <w:color w:val="231F20"/>
          <w:sz w:val="16"/>
          <w:szCs w:val="16"/>
        </w:rPr>
        <w:t>Las acciones del Fondo pueden comprarse, venderse o canjearse diariamente (salvo en determinados días fest</w:t>
      </w:r>
      <w:r>
        <w:rPr>
          <w:rFonts w:ascii="Arial" w:eastAsia="Arial" w:hAnsi="Arial" w:cs="Arial"/>
          <w:color w:val="231F20"/>
          <w:sz w:val="16"/>
          <w:szCs w:val="16"/>
        </w:rPr>
        <w:t>ivos o bancarios y con sujeción a determinadas restricciones descritas en el apéndice 1 del folleto), presentando una solicitud por escrito.</w:t>
      </w:r>
    </w:p>
    <w:p w14:paraId="3CF2D8B6" w14:textId="77777777" w:rsidR="00DC74FE" w:rsidRDefault="00DC74FE">
      <w:pPr>
        <w:spacing w:line="2" w:lineRule="exact"/>
        <w:rPr>
          <w:sz w:val="24"/>
          <w:szCs w:val="24"/>
        </w:rPr>
      </w:pPr>
    </w:p>
    <w:p w14:paraId="4B584315" w14:textId="77777777" w:rsidR="00DC74FE" w:rsidRDefault="001E4384">
      <w:pPr>
        <w:rPr>
          <w:sz w:val="20"/>
          <w:szCs w:val="20"/>
        </w:rPr>
      </w:pPr>
      <w:r>
        <w:rPr>
          <w:rFonts w:ascii="Arial" w:eastAsia="Arial" w:hAnsi="Arial" w:cs="Arial"/>
          <w:color w:val="231F20"/>
          <w:sz w:val="16"/>
          <w:szCs w:val="16"/>
        </w:rPr>
        <w:t>0</w:t>
      </w:r>
    </w:p>
    <w:p w14:paraId="0FB78278" w14:textId="77777777" w:rsidR="00DC74FE" w:rsidRDefault="00DC74FE">
      <w:pPr>
        <w:spacing w:line="27" w:lineRule="exact"/>
        <w:rPr>
          <w:sz w:val="24"/>
          <w:szCs w:val="24"/>
        </w:rPr>
      </w:pPr>
    </w:p>
    <w:p w14:paraId="234AF1C6" w14:textId="77777777" w:rsidR="00DC74FE" w:rsidRDefault="001E4384">
      <w:pPr>
        <w:spacing w:line="226" w:lineRule="auto"/>
        <w:jc w:val="both"/>
        <w:rPr>
          <w:sz w:val="20"/>
          <w:szCs w:val="20"/>
        </w:rPr>
      </w:pPr>
      <w:r>
        <w:rPr>
          <w:rFonts w:ascii="Arial" w:eastAsia="Arial" w:hAnsi="Arial" w:cs="Arial"/>
          <w:color w:val="231F20"/>
          <w:sz w:val="16"/>
          <w:szCs w:val="16"/>
        </w:rPr>
        <w:t>VF es un fondo general con obligaciones separadas entre subfondos. Esto significa que las tenencias del Fondo s</w:t>
      </w:r>
      <w:r>
        <w:rPr>
          <w:rFonts w:ascii="Arial" w:eastAsia="Arial" w:hAnsi="Arial" w:cs="Arial"/>
          <w:color w:val="231F20"/>
          <w:sz w:val="16"/>
          <w:szCs w:val="16"/>
        </w:rPr>
        <w:t>e mantienen por separado según la legislación irlandesa de las tenencias de otros subfondos de VF y su inversión en el Fondo no se verá afectada por ninguna reclamación contra cualquier otro subfondo de VF.</w:t>
      </w:r>
    </w:p>
    <w:p w14:paraId="1FC39945" w14:textId="77777777" w:rsidR="00DC74FE" w:rsidRDefault="00DC74FE">
      <w:pPr>
        <w:spacing w:line="17" w:lineRule="exact"/>
        <w:rPr>
          <w:sz w:val="24"/>
          <w:szCs w:val="24"/>
        </w:rPr>
      </w:pPr>
    </w:p>
    <w:p w14:paraId="23C36DA2" w14:textId="77777777" w:rsidR="00DC74FE" w:rsidRDefault="001E4384">
      <w:pPr>
        <w:spacing w:line="234" w:lineRule="auto"/>
        <w:jc w:val="both"/>
        <w:rPr>
          <w:sz w:val="20"/>
          <w:szCs w:val="20"/>
        </w:rPr>
      </w:pPr>
      <w:r>
        <w:rPr>
          <w:rFonts w:ascii="Arial" w:eastAsia="Arial" w:hAnsi="Arial" w:cs="Arial"/>
          <w:b/>
          <w:bCs/>
          <w:color w:val="231F20"/>
          <w:sz w:val="16"/>
          <w:szCs w:val="16"/>
        </w:rPr>
        <w:t>Inversor minorista previsto:</w:t>
      </w:r>
      <w:r>
        <w:rPr>
          <w:rFonts w:ascii="Arial" w:eastAsia="Arial" w:hAnsi="Arial" w:cs="Arial"/>
          <w:color w:val="231F20"/>
          <w:sz w:val="16"/>
          <w:szCs w:val="16"/>
        </w:rPr>
        <w:t xml:space="preserve"> El Fondo está a dis</w:t>
      </w:r>
      <w:r>
        <w:rPr>
          <w:rFonts w:ascii="Arial" w:eastAsia="Arial" w:hAnsi="Arial" w:cs="Arial"/>
          <w:color w:val="231F20"/>
          <w:sz w:val="16"/>
          <w:szCs w:val="16"/>
        </w:rPr>
        <w:t>posición de una amplia gama de inversores que desean acceder a una cartera gestionada de conformidad con un objetivo y una política de inversión específicos.</w:t>
      </w:r>
    </w:p>
    <w:p w14:paraId="0562CB0E" w14:textId="77777777" w:rsidR="00DC74FE" w:rsidRDefault="00DC74FE">
      <w:pPr>
        <w:spacing w:line="93" w:lineRule="exact"/>
        <w:rPr>
          <w:sz w:val="24"/>
          <w:szCs w:val="24"/>
        </w:rPr>
      </w:pPr>
    </w:p>
    <w:p w14:paraId="30D6951C" w14:textId="77777777" w:rsidR="00DC74FE" w:rsidRDefault="001E4384">
      <w:pPr>
        <w:spacing w:line="248" w:lineRule="auto"/>
        <w:jc w:val="both"/>
        <w:rPr>
          <w:sz w:val="20"/>
          <w:szCs w:val="20"/>
        </w:rPr>
      </w:pPr>
      <w:r>
        <w:rPr>
          <w:rFonts w:ascii="Arial" w:eastAsia="Arial" w:hAnsi="Arial" w:cs="Arial"/>
          <w:color w:val="231F20"/>
          <w:sz w:val="16"/>
          <w:szCs w:val="16"/>
        </w:rPr>
        <w:t>El depositario de VF es Brown Brothers Harriman Trust Services (Ireland) Limited.</w:t>
      </w:r>
    </w:p>
    <w:p w14:paraId="34CE0A41" w14:textId="77777777" w:rsidR="00DC74FE" w:rsidRDefault="00DC74FE">
      <w:pPr>
        <w:spacing w:line="14" w:lineRule="exact"/>
        <w:rPr>
          <w:sz w:val="24"/>
          <w:szCs w:val="24"/>
        </w:rPr>
      </w:pPr>
    </w:p>
    <w:p w14:paraId="0CBB7186" w14:textId="77777777" w:rsidR="00DC74FE" w:rsidRDefault="001E4384">
      <w:pPr>
        <w:spacing w:line="216" w:lineRule="auto"/>
        <w:jc w:val="both"/>
        <w:rPr>
          <w:rFonts w:ascii="Arial" w:eastAsia="Arial" w:hAnsi="Arial" w:cs="Arial"/>
          <w:color w:val="0000FF"/>
          <w:sz w:val="16"/>
          <w:szCs w:val="16"/>
        </w:rPr>
      </w:pPr>
      <w:r>
        <w:rPr>
          <w:rFonts w:ascii="Arial" w:eastAsia="Arial" w:hAnsi="Arial" w:cs="Arial"/>
          <w:color w:val="231F20"/>
          <w:sz w:val="16"/>
          <w:szCs w:val="16"/>
        </w:rPr>
        <w:t>Puede obtener copias del Folleto y del último informe anual y semestral y las cuentas de Vanguard Funds plc (“VF”) junto con los últimos precios publicados de las acciones y</w:t>
      </w:r>
      <w:r>
        <w:rPr>
          <w:rFonts w:ascii="Arial" w:eastAsia="Arial" w:hAnsi="Arial" w:cs="Arial"/>
          <w:color w:val="231F20"/>
          <w:sz w:val="16"/>
          <w:szCs w:val="16"/>
        </w:rPr>
        <w:t xml:space="preserve"> otra información práctica, en VF c/o Brown Brothers Harriman Fund Administration Services (Ireland) Limited, 30 </w:t>
      </w:r>
      <w:hyperlink r:id="rId7">
        <w:r>
          <w:rPr>
            <w:rFonts w:ascii="Arial" w:eastAsia="Arial" w:hAnsi="Arial" w:cs="Arial"/>
            <w:color w:val="231F20"/>
            <w:sz w:val="16"/>
            <w:szCs w:val="16"/>
          </w:rPr>
          <w:t>Herbert Street, Dublin 2, D02 W329, Ireland o en nuestro sitio web en</w:t>
        </w:r>
      </w:hyperlink>
      <w:hyperlink r:id="rId8">
        <w:r>
          <w:rPr>
            <w:rFonts w:ascii="Arial" w:eastAsia="Arial" w:hAnsi="Arial" w:cs="Arial"/>
            <w:color w:val="0000FF"/>
            <w:sz w:val="16"/>
            <w:szCs w:val="16"/>
          </w:rPr>
          <w:t xml:space="preserve"> https:// </w:t>
        </w:r>
      </w:hyperlink>
      <w:hyperlink r:id="rId9">
        <w:r>
          <w:rPr>
            <w:rFonts w:ascii="Arial" w:eastAsia="Arial" w:hAnsi="Arial" w:cs="Arial"/>
            <w:color w:val="0000FF"/>
            <w:sz w:val="16"/>
            <w:szCs w:val="16"/>
          </w:rPr>
          <w:t>global.vanguard.com</w:t>
        </w:r>
      </w:hyperlink>
      <w:hyperlink r:id="rId10">
        <w:r>
          <w:rPr>
            <w:rFonts w:ascii="Arial" w:eastAsia="Arial" w:hAnsi="Arial" w:cs="Arial"/>
            <w:color w:val="231F20"/>
            <w:sz w:val="16"/>
            <w:szCs w:val="16"/>
          </w:rPr>
          <w:t>.</w:t>
        </w:r>
      </w:hyperlink>
      <w:hyperlink r:id="rId11">
        <w:r>
          <w:rPr>
            <w:rFonts w:ascii="Arial" w:eastAsia="Arial" w:hAnsi="Arial" w:cs="Arial"/>
            <w:color w:val="231F20"/>
            <w:sz w:val="16"/>
            <w:szCs w:val="16"/>
          </w:rPr>
          <w:t xml:space="preserve"> La información sobre la política de divulgación de la cartera del Fondo </w:t>
        </w:r>
      </w:hyperlink>
      <w:hyperlink r:id="rId12">
        <w:r>
          <w:rPr>
            <w:rFonts w:ascii="Arial" w:eastAsia="Arial" w:hAnsi="Arial" w:cs="Arial"/>
            <w:color w:val="231F20"/>
            <w:sz w:val="16"/>
            <w:szCs w:val="16"/>
          </w:rPr>
          <w:t>y la publicación del iNAV puede obtenerse en</w:t>
        </w:r>
      </w:hyperlink>
      <w:hyperlink r:id="rId13">
        <w:r>
          <w:rPr>
            <w:rFonts w:ascii="Arial" w:eastAsia="Arial" w:hAnsi="Arial" w:cs="Arial"/>
            <w:color w:val="0000FF"/>
            <w:sz w:val="16"/>
            <w:szCs w:val="16"/>
          </w:rPr>
          <w:t xml:space="preserve"> https://global.vanguard.com/ </w:t>
        </w:r>
      </w:hyperlink>
      <w:hyperlink r:id="rId14">
        <w:r>
          <w:rPr>
            <w:rFonts w:ascii="Arial" w:eastAsia="Arial" w:hAnsi="Arial" w:cs="Arial"/>
            <w:color w:val="0000FF"/>
            <w:sz w:val="16"/>
            <w:szCs w:val="16"/>
          </w:rPr>
          <w:t>portal/site/portal/ucits-Documentation</w:t>
        </w:r>
      </w:hyperlink>
      <w:hyperlink r:id="rId15">
        <w:r>
          <w:rPr>
            <w:rFonts w:ascii="Arial" w:eastAsia="Arial" w:hAnsi="Arial" w:cs="Arial"/>
            <w:color w:val="231F20"/>
            <w:sz w:val="16"/>
            <w:szCs w:val="16"/>
          </w:rPr>
          <w:t>.</w:t>
        </w:r>
      </w:hyperlink>
      <w:hyperlink r:id="rId16">
        <w:r>
          <w:rPr>
            <w:rFonts w:ascii="Arial" w:eastAsia="Arial" w:hAnsi="Arial" w:cs="Arial"/>
            <w:color w:val="231F20"/>
            <w:sz w:val="16"/>
            <w:szCs w:val="16"/>
          </w:rPr>
          <w:t xml:space="preserve"> Los documentos están disponibles en </w:t>
        </w:r>
      </w:hyperlink>
      <w:r>
        <w:rPr>
          <w:rFonts w:ascii="Arial" w:eastAsia="Arial" w:hAnsi="Arial" w:cs="Arial"/>
          <w:color w:val="231F20"/>
          <w:sz w:val="16"/>
          <w:szCs w:val="16"/>
        </w:rPr>
        <w:t>inglé</w:t>
      </w:r>
      <w:r>
        <w:rPr>
          <w:rFonts w:ascii="Arial" w:eastAsia="Arial" w:hAnsi="Arial" w:cs="Arial"/>
          <w:color w:val="231F20"/>
          <w:sz w:val="16"/>
          <w:szCs w:val="16"/>
        </w:rPr>
        <w:t>s y son gratuitos.</w:t>
      </w:r>
    </w:p>
    <w:p w14:paraId="62EBF3C5" w14:textId="77777777" w:rsidR="00DC74FE" w:rsidRDefault="00DC74FE">
      <w:pPr>
        <w:spacing w:line="425" w:lineRule="exact"/>
        <w:rPr>
          <w:rFonts w:ascii="Arial" w:eastAsia="Arial" w:hAnsi="Arial" w:cs="Arial"/>
          <w:color w:val="0000FF"/>
          <w:sz w:val="16"/>
          <w:szCs w:val="16"/>
        </w:rPr>
      </w:pPr>
    </w:p>
    <w:p w14:paraId="6D98A12B" w14:textId="77777777" w:rsidR="00DC74FE" w:rsidRDefault="00DC74FE">
      <w:pPr>
        <w:sectPr w:rsidR="00DC74FE">
          <w:type w:val="continuous"/>
          <w:pgSz w:w="11900" w:h="16838"/>
          <w:pgMar w:top="552" w:right="406" w:bottom="1440" w:left="397" w:header="0" w:footer="0" w:gutter="0"/>
          <w:cols w:num="2" w:space="720" w:equalWidth="0">
            <w:col w:w="5423" w:space="260"/>
            <w:col w:w="5420"/>
          </w:cols>
        </w:sectPr>
      </w:pPr>
    </w:p>
    <w:p w14:paraId="5AFBFA28" w14:textId="77777777" w:rsidR="00DC74FE" w:rsidRDefault="001E4384">
      <w:pPr>
        <w:ind w:left="3"/>
        <w:rPr>
          <w:sz w:val="20"/>
          <w:szCs w:val="20"/>
        </w:rPr>
      </w:pPr>
      <w:r>
        <w:rPr>
          <w:rFonts w:ascii="Arial" w:eastAsia="Arial" w:hAnsi="Arial" w:cs="Arial"/>
          <w:color w:val="231F20"/>
          <w:sz w:val="24"/>
          <w:szCs w:val="24"/>
        </w:rPr>
        <w:t>¿Cuáles son los riesgos y qué podría obtener a cambio?</w:t>
      </w:r>
    </w:p>
    <w:p w14:paraId="2946DB82" w14:textId="77777777" w:rsidR="00DC74FE" w:rsidRDefault="00DC74FE">
      <w:pPr>
        <w:spacing w:line="118" w:lineRule="exact"/>
        <w:rPr>
          <w:rFonts w:ascii="Arial" w:eastAsia="Arial" w:hAnsi="Arial" w:cs="Arial"/>
          <w:color w:val="0000FF"/>
          <w:sz w:val="16"/>
          <w:szCs w:val="16"/>
        </w:rPr>
      </w:pPr>
    </w:p>
    <w:p w14:paraId="4721F942" w14:textId="77777777" w:rsidR="00DC74FE" w:rsidRDefault="001E4384">
      <w:pPr>
        <w:ind w:left="3"/>
        <w:rPr>
          <w:sz w:val="20"/>
          <w:szCs w:val="20"/>
        </w:rPr>
      </w:pPr>
      <w:r>
        <w:rPr>
          <w:rFonts w:ascii="Arial" w:eastAsia="Arial" w:hAnsi="Arial" w:cs="Arial"/>
          <w:b/>
          <w:bCs/>
          <w:color w:val="231F20"/>
          <w:sz w:val="18"/>
          <w:szCs w:val="18"/>
        </w:rPr>
        <w:t>Indicador de riesgo</w:t>
      </w:r>
    </w:p>
    <w:p w14:paraId="59A2361D" w14:textId="77777777" w:rsidR="00DC74FE" w:rsidRDefault="001E4384">
      <w:pPr>
        <w:spacing w:line="20" w:lineRule="exact"/>
        <w:rPr>
          <w:rFonts w:ascii="Arial" w:eastAsia="Arial" w:hAnsi="Arial" w:cs="Arial"/>
          <w:color w:val="0000FF"/>
          <w:sz w:val="16"/>
          <w:szCs w:val="16"/>
        </w:rPr>
      </w:pPr>
      <w:r>
        <w:rPr>
          <w:rFonts w:ascii="Arial" w:eastAsia="Arial" w:hAnsi="Arial" w:cs="Arial"/>
          <w:noProof/>
          <w:color w:val="0000FF"/>
          <w:sz w:val="16"/>
          <w:szCs w:val="16"/>
        </w:rPr>
        <w:drawing>
          <wp:anchor distT="0" distB="0" distL="114300" distR="114300" simplePos="0" relativeHeight="251653632" behindDoc="1" locked="0" layoutInCell="0" allowOverlap="1" wp14:anchorId="24751511" wp14:editId="07777777">
            <wp:simplePos x="0" y="0"/>
            <wp:positionH relativeFrom="column">
              <wp:posOffset>17145</wp:posOffset>
            </wp:positionH>
            <wp:positionV relativeFrom="paragraph">
              <wp:posOffset>161290</wp:posOffset>
            </wp:positionV>
            <wp:extent cx="3407410" cy="3949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3407410" cy="394970"/>
                    </a:xfrm>
                    <a:prstGeom prst="rect">
                      <a:avLst/>
                    </a:prstGeom>
                    <a:noFill/>
                  </pic:spPr>
                </pic:pic>
              </a:graphicData>
            </a:graphic>
          </wp:anchor>
        </w:drawing>
      </w:r>
    </w:p>
    <w:p w14:paraId="5997CC1D" w14:textId="77777777" w:rsidR="00DC74FE" w:rsidRDefault="00DC74FE">
      <w:pPr>
        <w:spacing w:line="379" w:lineRule="exact"/>
        <w:rPr>
          <w:rFonts w:ascii="Arial" w:eastAsia="Arial" w:hAnsi="Arial" w:cs="Arial"/>
          <w:color w:val="0000FF"/>
          <w:sz w:val="16"/>
          <w:szCs w:val="16"/>
        </w:rPr>
      </w:pPr>
    </w:p>
    <w:tbl>
      <w:tblPr>
        <w:tblW w:w="0" w:type="auto"/>
        <w:tblInd w:w="63" w:type="dxa"/>
        <w:tblLayout w:type="fixed"/>
        <w:tblCellMar>
          <w:left w:w="0" w:type="dxa"/>
          <w:right w:w="0" w:type="dxa"/>
        </w:tblCellMar>
        <w:tblLook w:val="04A0" w:firstRow="1" w:lastRow="0" w:firstColumn="1" w:lastColumn="0" w:noHBand="0" w:noVBand="1"/>
      </w:tblPr>
      <w:tblGrid>
        <w:gridCol w:w="40"/>
        <w:gridCol w:w="840"/>
        <w:gridCol w:w="640"/>
        <w:gridCol w:w="740"/>
        <w:gridCol w:w="760"/>
        <w:gridCol w:w="760"/>
        <w:gridCol w:w="620"/>
        <w:gridCol w:w="860"/>
        <w:gridCol w:w="60"/>
      </w:tblGrid>
      <w:tr w:rsidR="00DC74FE" w14:paraId="4E4F49DB" w14:textId="77777777">
        <w:trPr>
          <w:trHeight w:val="325"/>
        </w:trPr>
        <w:tc>
          <w:tcPr>
            <w:tcW w:w="880" w:type="dxa"/>
            <w:gridSpan w:val="2"/>
            <w:vAlign w:val="bottom"/>
          </w:tcPr>
          <w:p w14:paraId="649841BE" w14:textId="77777777" w:rsidR="00DC74FE" w:rsidRDefault="001E4384">
            <w:pPr>
              <w:ind w:right="440"/>
              <w:jc w:val="right"/>
              <w:rPr>
                <w:sz w:val="20"/>
                <w:szCs w:val="20"/>
              </w:rPr>
            </w:pPr>
            <w:r>
              <w:rPr>
                <w:rFonts w:ascii="Arial" w:eastAsia="Arial" w:hAnsi="Arial" w:cs="Arial"/>
                <w:sz w:val="24"/>
                <w:szCs w:val="24"/>
              </w:rPr>
              <w:t>1</w:t>
            </w:r>
          </w:p>
        </w:tc>
        <w:tc>
          <w:tcPr>
            <w:tcW w:w="640" w:type="dxa"/>
            <w:vAlign w:val="bottom"/>
          </w:tcPr>
          <w:p w14:paraId="18F999B5" w14:textId="77777777" w:rsidR="00DC74FE" w:rsidRDefault="001E4384">
            <w:pPr>
              <w:ind w:right="200"/>
              <w:jc w:val="right"/>
              <w:rPr>
                <w:sz w:val="20"/>
                <w:szCs w:val="20"/>
              </w:rPr>
            </w:pPr>
            <w:r>
              <w:rPr>
                <w:rFonts w:ascii="Arial" w:eastAsia="Arial" w:hAnsi="Arial" w:cs="Arial"/>
                <w:sz w:val="24"/>
                <w:szCs w:val="24"/>
              </w:rPr>
              <w:t>2</w:t>
            </w:r>
          </w:p>
        </w:tc>
        <w:tc>
          <w:tcPr>
            <w:tcW w:w="740" w:type="dxa"/>
            <w:vAlign w:val="bottom"/>
          </w:tcPr>
          <w:p w14:paraId="5FCD5EC4" w14:textId="77777777" w:rsidR="00DC74FE" w:rsidRDefault="001E4384">
            <w:pPr>
              <w:ind w:right="180"/>
              <w:jc w:val="right"/>
              <w:rPr>
                <w:sz w:val="20"/>
                <w:szCs w:val="20"/>
              </w:rPr>
            </w:pPr>
            <w:r>
              <w:rPr>
                <w:rFonts w:ascii="Arial" w:eastAsia="Arial" w:hAnsi="Arial" w:cs="Arial"/>
                <w:sz w:val="24"/>
                <w:szCs w:val="24"/>
              </w:rPr>
              <w:t>3</w:t>
            </w:r>
          </w:p>
        </w:tc>
        <w:tc>
          <w:tcPr>
            <w:tcW w:w="760" w:type="dxa"/>
            <w:vAlign w:val="bottom"/>
          </w:tcPr>
          <w:p w14:paraId="2598DEE6" w14:textId="77777777" w:rsidR="00DC74FE" w:rsidRDefault="001E4384">
            <w:pPr>
              <w:ind w:right="180"/>
              <w:jc w:val="right"/>
              <w:rPr>
                <w:sz w:val="20"/>
                <w:szCs w:val="20"/>
              </w:rPr>
            </w:pPr>
            <w:r>
              <w:rPr>
                <w:rFonts w:ascii="Arial" w:eastAsia="Arial" w:hAnsi="Arial" w:cs="Arial"/>
                <w:sz w:val="24"/>
                <w:szCs w:val="24"/>
              </w:rPr>
              <w:t>4</w:t>
            </w:r>
          </w:p>
        </w:tc>
        <w:tc>
          <w:tcPr>
            <w:tcW w:w="760" w:type="dxa"/>
            <w:vAlign w:val="bottom"/>
          </w:tcPr>
          <w:p w14:paraId="78941E47" w14:textId="77777777" w:rsidR="00DC74FE" w:rsidRDefault="001E4384">
            <w:pPr>
              <w:ind w:right="200"/>
              <w:jc w:val="right"/>
              <w:rPr>
                <w:sz w:val="20"/>
                <w:szCs w:val="20"/>
              </w:rPr>
            </w:pPr>
            <w:r>
              <w:rPr>
                <w:rFonts w:ascii="Arial" w:eastAsia="Arial" w:hAnsi="Arial" w:cs="Arial"/>
                <w:color w:val="FFFFFF"/>
                <w:sz w:val="24"/>
                <w:szCs w:val="24"/>
              </w:rPr>
              <w:t>5</w:t>
            </w:r>
          </w:p>
        </w:tc>
        <w:tc>
          <w:tcPr>
            <w:tcW w:w="620" w:type="dxa"/>
            <w:vAlign w:val="bottom"/>
          </w:tcPr>
          <w:p w14:paraId="29B4EA11" w14:textId="77777777" w:rsidR="00DC74FE" w:rsidRDefault="001E4384">
            <w:pPr>
              <w:ind w:right="60"/>
              <w:jc w:val="right"/>
              <w:rPr>
                <w:sz w:val="20"/>
                <w:szCs w:val="20"/>
              </w:rPr>
            </w:pPr>
            <w:r>
              <w:rPr>
                <w:rFonts w:ascii="Arial" w:eastAsia="Arial" w:hAnsi="Arial" w:cs="Arial"/>
                <w:sz w:val="24"/>
                <w:szCs w:val="24"/>
              </w:rPr>
              <w:t>6</w:t>
            </w:r>
          </w:p>
        </w:tc>
        <w:tc>
          <w:tcPr>
            <w:tcW w:w="860" w:type="dxa"/>
            <w:vAlign w:val="bottom"/>
          </w:tcPr>
          <w:p w14:paraId="75697EEC" w14:textId="77777777" w:rsidR="00DC74FE" w:rsidRDefault="001E4384">
            <w:pPr>
              <w:ind w:right="185"/>
              <w:jc w:val="right"/>
              <w:rPr>
                <w:sz w:val="20"/>
                <w:szCs w:val="20"/>
              </w:rPr>
            </w:pPr>
            <w:r>
              <w:rPr>
                <w:rFonts w:ascii="Arial" w:eastAsia="Arial" w:hAnsi="Arial" w:cs="Arial"/>
                <w:sz w:val="24"/>
                <w:szCs w:val="24"/>
              </w:rPr>
              <w:t>7</w:t>
            </w:r>
          </w:p>
        </w:tc>
        <w:tc>
          <w:tcPr>
            <w:tcW w:w="60" w:type="dxa"/>
            <w:vAlign w:val="bottom"/>
          </w:tcPr>
          <w:p w14:paraId="110FFD37" w14:textId="77777777" w:rsidR="00DC74FE" w:rsidRDefault="00DC74FE">
            <w:pPr>
              <w:rPr>
                <w:sz w:val="24"/>
                <w:szCs w:val="24"/>
              </w:rPr>
            </w:pPr>
          </w:p>
        </w:tc>
      </w:tr>
      <w:tr w:rsidR="00DC74FE" w14:paraId="6B699379" w14:textId="77777777">
        <w:trPr>
          <w:trHeight w:val="396"/>
        </w:trPr>
        <w:tc>
          <w:tcPr>
            <w:tcW w:w="40" w:type="dxa"/>
            <w:vAlign w:val="bottom"/>
          </w:tcPr>
          <w:p w14:paraId="3FE9F23F" w14:textId="77777777" w:rsidR="00DC74FE" w:rsidRDefault="00DC74FE">
            <w:pPr>
              <w:rPr>
                <w:sz w:val="24"/>
                <w:szCs w:val="24"/>
              </w:rPr>
            </w:pPr>
          </w:p>
        </w:tc>
        <w:tc>
          <w:tcPr>
            <w:tcW w:w="840" w:type="dxa"/>
            <w:tcBorders>
              <w:bottom w:val="single" w:sz="8" w:space="0" w:color="auto"/>
            </w:tcBorders>
            <w:vAlign w:val="bottom"/>
          </w:tcPr>
          <w:p w14:paraId="1F72F646" w14:textId="77777777" w:rsidR="00DC74FE" w:rsidRDefault="00DC74FE">
            <w:pPr>
              <w:rPr>
                <w:sz w:val="24"/>
                <w:szCs w:val="24"/>
              </w:rPr>
            </w:pPr>
          </w:p>
        </w:tc>
        <w:tc>
          <w:tcPr>
            <w:tcW w:w="640" w:type="dxa"/>
            <w:tcBorders>
              <w:bottom w:val="single" w:sz="8" w:space="0" w:color="auto"/>
            </w:tcBorders>
            <w:vAlign w:val="bottom"/>
          </w:tcPr>
          <w:p w14:paraId="08CE6F91" w14:textId="77777777" w:rsidR="00DC74FE" w:rsidRDefault="00DC74FE">
            <w:pPr>
              <w:rPr>
                <w:sz w:val="24"/>
                <w:szCs w:val="24"/>
              </w:rPr>
            </w:pPr>
          </w:p>
        </w:tc>
        <w:tc>
          <w:tcPr>
            <w:tcW w:w="740" w:type="dxa"/>
            <w:tcBorders>
              <w:bottom w:val="single" w:sz="8" w:space="0" w:color="auto"/>
            </w:tcBorders>
            <w:vAlign w:val="bottom"/>
          </w:tcPr>
          <w:p w14:paraId="61CDCEAD" w14:textId="77777777" w:rsidR="00DC74FE" w:rsidRDefault="00DC74FE">
            <w:pPr>
              <w:rPr>
                <w:sz w:val="24"/>
                <w:szCs w:val="24"/>
              </w:rPr>
            </w:pPr>
          </w:p>
        </w:tc>
        <w:tc>
          <w:tcPr>
            <w:tcW w:w="760" w:type="dxa"/>
            <w:tcBorders>
              <w:bottom w:val="single" w:sz="8" w:space="0" w:color="auto"/>
            </w:tcBorders>
            <w:vAlign w:val="bottom"/>
          </w:tcPr>
          <w:p w14:paraId="6BB9E253" w14:textId="77777777" w:rsidR="00DC74FE" w:rsidRDefault="00DC74FE">
            <w:pPr>
              <w:rPr>
                <w:sz w:val="24"/>
                <w:szCs w:val="24"/>
              </w:rPr>
            </w:pPr>
          </w:p>
        </w:tc>
        <w:tc>
          <w:tcPr>
            <w:tcW w:w="760" w:type="dxa"/>
            <w:tcBorders>
              <w:bottom w:val="single" w:sz="8" w:space="0" w:color="auto"/>
            </w:tcBorders>
            <w:vAlign w:val="bottom"/>
          </w:tcPr>
          <w:p w14:paraId="23DE523C" w14:textId="77777777" w:rsidR="00DC74FE" w:rsidRDefault="00DC74FE">
            <w:pPr>
              <w:rPr>
                <w:sz w:val="24"/>
                <w:szCs w:val="24"/>
              </w:rPr>
            </w:pPr>
          </w:p>
        </w:tc>
        <w:tc>
          <w:tcPr>
            <w:tcW w:w="620" w:type="dxa"/>
            <w:tcBorders>
              <w:bottom w:val="single" w:sz="8" w:space="0" w:color="auto"/>
            </w:tcBorders>
            <w:vAlign w:val="bottom"/>
          </w:tcPr>
          <w:p w14:paraId="52E56223" w14:textId="77777777" w:rsidR="00DC74FE" w:rsidRDefault="00DC74FE">
            <w:pPr>
              <w:rPr>
                <w:sz w:val="24"/>
                <w:szCs w:val="24"/>
              </w:rPr>
            </w:pPr>
          </w:p>
        </w:tc>
        <w:tc>
          <w:tcPr>
            <w:tcW w:w="860" w:type="dxa"/>
            <w:tcBorders>
              <w:bottom w:val="single" w:sz="8" w:space="0" w:color="auto"/>
            </w:tcBorders>
            <w:vAlign w:val="bottom"/>
          </w:tcPr>
          <w:p w14:paraId="07547A01" w14:textId="77777777" w:rsidR="00DC74FE" w:rsidRDefault="00DC74FE">
            <w:pPr>
              <w:rPr>
                <w:sz w:val="24"/>
                <w:szCs w:val="24"/>
              </w:rPr>
            </w:pPr>
          </w:p>
        </w:tc>
        <w:tc>
          <w:tcPr>
            <w:tcW w:w="60" w:type="dxa"/>
            <w:vAlign w:val="bottom"/>
          </w:tcPr>
          <w:p w14:paraId="5043CB0F" w14:textId="77777777" w:rsidR="00DC74FE" w:rsidRDefault="00DC74FE">
            <w:pPr>
              <w:rPr>
                <w:sz w:val="24"/>
                <w:szCs w:val="24"/>
              </w:rPr>
            </w:pPr>
          </w:p>
        </w:tc>
      </w:tr>
      <w:tr w:rsidR="00DC74FE" w14:paraId="526BCFF6" w14:textId="77777777">
        <w:trPr>
          <w:trHeight w:val="283"/>
        </w:trPr>
        <w:tc>
          <w:tcPr>
            <w:tcW w:w="880" w:type="dxa"/>
            <w:gridSpan w:val="2"/>
            <w:vAlign w:val="bottom"/>
          </w:tcPr>
          <w:p w14:paraId="547D03EA" w14:textId="77777777" w:rsidR="00DC74FE" w:rsidRDefault="001E4384">
            <w:pPr>
              <w:ind w:right="180"/>
              <w:jc w:val="right"/>
              <w:rPr>
                <w:sz w:val="20"/>
                <w:szCs w:val="20"/>
              </w:rPr>
            </w:pPr>
            <w:r>
              <w:rPr>
                <w:rFonts w:ascii="Arial" w:eastAsia="Arial" w:hAnsi="Arial" w:cs="Arial"/>
                <w:b/>
                <w:bCs/>
                <w:color w:val="231F20"/>
                <w:w w:val="97"/>
                <w:sz w:val="14"/>
                <w:szCs w:val="14"/>
              </w:rPr>
              <w:t>Menor riesgo</w:t>
            </w:r>
          </w:p>
        </w:tc>
        <w:tc>
          <w:tcPr>
            <w:tcW w:w="640" w:type="dxa"/>
            <w:vAlign w:val="bottom"/>
          </w:tcPr>
          <w:p w14:paraId="07459315" w14:textId="77777777" w:rsidR="00DC74FE" w:rsidRDefault="00DC74FE">
            <w:pPr>
              <w:rPr>
                <w:sz w:val="24"/>
                <w:szCs w:val="24"/>
              </w:rPr>
            </w:pPr>
          </w:p>
        </w:tc>
        <w:tc>
          <w:tcPr>
            <w:tcW w:w="740" w:type="dxa"/>
            <w:vAlign w:val="bottom"/>
          </w:tcPr>
          <w:p w14:paraId="6537F28F" w14:textId="77777777" w:rsidR="00DC74FE" w:rsidRDefault="00DC74FE">
            <w:pPr>
              <w:rPr>
                <w:sz w:val="24"/>
                <w:szCs w:val="24"/>
              </w:rPr>
            </w:pPr>
          </w:p>
        </w:tc>
        <w:tc>
          <w:tcPr>
            <w:tcW w:w="760" w:type="dxa"/>
            <w:vAlign w:val="bottom"/>
          </w:tcPr>
          <w:p w14:paraId="6DFB9E20" w14:textId="77777777" w:rsidR="00DC74FE" w:rsidRDefault="00DC74FE">
            <w:pPr>
              <w:rPr>
                <w:sz w:val="24"/>
                <w:szCs w:val="24"/>
              </w:rPr>
            </w:pPr>
          </w:p>
        </w:tc>
        <w:tc>
          <w:tcPr>
            <w:tcW w:w="760" w:type="dxa"/>
            <w:vAlign w:val="bottom"/>
          </w:tcPr>
          <w:p w14:paraId="70DF9E56" w14:textId="77777777" w:rsidR="00DC74FE" w:rsidRDefault="00DC74FE">
            <w:pPr>
              <w:rPr>
                <w:sz w:val="24"/>
                <w:szCs w:val="24"/>
              </w:rPr>
            </w:pPr>
          </w:p>
        </w:tc>
        <w:tc>
          <w:tcPr>
            <w:tcW w:w="620" w:type="dxa"/>
            <w:vAlign w:val="bottom"/>
          </w:tcPr>
          <w:p w14:paraId="44E871BC" w14:textId="77777777" w:rsidR="00DC74FE" w:rsidRDefault="00DC74FE">
            <w:pPr>
              <w:rPr>
                <w:sz w:val="24"/>
                <w:szCs w:val="24"/>
              </w:rPr>
            </w:pPr>
          </w:p>
        </w:tc>
        <w:tc>
          <w:tcPr>
            <w:tcW w:w="900" w:type="dxa"/>
            <w:gridSpan w:val="2"/>
            <w:vAlign w:val="bottom"/>
          </w:tcPr>
          <w:p w14:paraId="251E2ACE" w14:textId="77777777" w:rsidR="00DC74FE" w:rsidRDefault="001E4384">
            <w:pPr>
              <w:ind w:left="65"/>
              <w:jc w:val="center"/>
              <w:rPr>
                <w:sz w:val="20"/>
                <w:szCs w:val="20"/>
              </w:rPr>
            </w:pPr>
            <w:r>
              <w:rPr>
                <w:rFonts w:ascii="Arial" w:eastAsia="Arial" w:hAnsi="Arial" w:cs="Arial"/>
                <w:b/>
                <w:bCs/>
                <w:color w:val="231F20"/>
                <w:sz w:val="14"/>
                <w:szCs w:val="14"/>
              </w:rPr>
              <w:t>Mayor riesgo</w:t>
            </w:r>
          </w:p>
        </w:tc>
      </w:tr>
    </w:tbl>
    <w:p w14:paraId="68495F9A" w14:textId="77777777" w:rsidR="00DC74FE" w:rsidRDefault="001E4384">
      <w:pPr>
        <w:spacing w:line="20" w:lineRule="exact"/>
        <w:rPr>
          <w:rFonts w:ascii="Arial" w:eastAsia="Arial" w:hAnsi="Arial" w:cs="Arial"/>
          <w:color w:val="0000FF"/>
          <w:sz w:val="16"/>
          <w:szCs w:val="16"/>
        </w:rPr>
      </w:pPr>
      <w:r>
        <w:rPr>
          <w:rFonts w:ascii="Arial" w:eastAsia="Arial" w:hAnsi="Arial" w:cs="Arial"/>
          <w:noProof/>
          <w:color w:val="0000FF"/>
          <w:sz w:val="16"/>
          <w:szCs w:val="16"/>
        </w:rPr>
        <w:drawing>
          <wp:anchor distT="0" distB="0" distL="114300" distR="114300" simplePos="0" relativeHeight="251654656" behindDoc="1" locked="0" layoutInCell="0" allowOverlap="1" wp14:anchorId="4ACA80E2" wp14:editId="07777777">
            <wp:simplePos x="0" y="0"/>
            <wp:positionH relativeFrom="column">
              <wp:posOffset>36830</wp:posOffset>
            </wp:positionH>
            <wp:positionV relativeFrom="paragraph">
              <wp:posOffset>-241300</wp:posOffset>
            </wp:positionV>
            <wp:extent cx="79375" cy="1098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79375" cy="109855"/>
                    </a:xfrm>
                    <a:prstGeom prst="rect">
                      <a:avLst/>
                    </a:prstGeom>
                    <a:noFill/>
                  </pic:spPr>
                </pic:pic>
              </a:graphicData>
            </a:graphic>
          </wp:anchor>
        </w:drawing>
      </w:r>
      <w:r>
        <w:rPr>
          <w:rFonts w:ascii="Arial" w:eastAsia="Arial" w:hAnsi="Arial" w:cs="Arial"/>
          <w:noProof/>
          <w:color w:val="0000FF"/>
          <w:sz w:val="16"/>
          <w:szCs w:val="16"/>
        </w:rPr>
        <w:drawing>
          <wp:anchor distT="0" distB="0" distL="114300" distR="114300" simplePos="0" relativeHeight="251655680" behindDoc="1" locked="0" layoutInCell="0" allowOverlap="1" wp14:anchorId="7BEFDCDA" wp14:editId="07777777">
            <wp:simplePos x="0" y="0"/>
            <wp:positionH relativeFrom="column">
              <wp:posOffset>3319780</wp:posOffset>
            </wp:positionH>
            <wp:positionV relativeFrom="paragraph">
              <wp:posOffset>-241300</wp:posOffset>
            </wp:positionV>
            <wp:extent cx="79375" cy="1098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79375" cy="109855"/>
                    </a:xfrm>
                    <a:prstGeom prst="rect">
                      <a:avLst/>
                    </a:prstGeom>
                    <a:noFill/>
                  </pic:spPr>
                </pic:pic>
              </a:graphicData>
            </a:graphic>
          </wp:anchor>
        </w:drawing>
      </w:r>
      <w:r>
        <w:rPr>
          <w:rFonts w:ascii="Arial" w:eastAsia="Arial" w:hAnsi="Arial" w:cs="Arial"/>
          <w:noProof/>
          <w:color w:val="0000FF"/>
          <w:sz w:val="16"/>
          <w:szCs w:val="16"/>
        </w:rPr>
        <w:drawing>
          <wp:anchor distT="0" distB="0" distL="114300" distR="114300" simplePos="0" relativeHeight="251656704" behindDoc="1" locked="0" layoutInCell="0" allowOverlap="1" wp14:anchorId="10C13061" wp14:editId="07777777">
            <wp:simplePos x="0" y="0"/>
            <wp:positionH relativeFrom="column">
              <wp:posOffset>-71120</wp:posOffset>
            </wp:positionH>
            <wp:positionV relativeFrom="paragraph">
              <wp:posOffset>69850</wp:posOffset>
            </wp:positionV>
            <wp:extent cx="617855" cy="5029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617855" cy="502920"/>
                    </a:xfrm>
                    <a:prstGeom prst="rect">
                      <a:avLst/>
                    </a:prstGeom>
                    <a:noFill/>
                  </pic:spPr>
                </pic:pic>
              </a:graphicData>
            </a:graphic>
          </wp:anchor>
        </w:drawing>
      </w:r>
    </w:p>
    <w:p w14:paraId="144A5D23" w14:textId="77777777" w:rsidR="00DC74FE" w:rsidRDefault="00DC74FE">
      <w:pPr>
        <w:spacing w:line="176" w:lineRule="exact"/>
        <w:rPr>
          <w:rFonts w:ascii="Arial" w:eastAsia="Arial" w:hAnsi="Arial" w:cs="Arial"/>
          <w:color w:val="0000FF"/>
          <w:sz w:val="16"/>
          <w:szCs w:val="16"/>
        </w:rPr>
      </w:pPr>
    </w:p>
    <w:p w14:paraId="1DF5E69E" w14:textId="77777777" w:rsidR="00DC74FE" w:rsidRDefault="001E4384">
      <w:pPr>
        <w:spacing w:line="260" w:lineRule="auto"/>
        <w:ind w:left="823" w:right="140"/>
        <w:jc w:val="both"/>
        <w:rPr>
          <w:sz w:val="20"/>
          <w:szCs w:val="20"/>
        </w:rPr>
      </w:pPr>
      <w:r>
        <w:rPr>
          <w:rFonts w:ascii="Arial" w:eastAsia="Arial" w:hAnsi="Arial" w:cs="Arial"/>
          <w:color w:val="231F20"/>
          <w:sz w:val="18"/>
          <w:szCs w:val="18"/>
        </w:rPr>
        <w:t>El indicador de riesgo asume que usted mantiene el Fondo durante 5 años. El riesgo real puede variar significativamente si usted cobra en una etapa temprana y usted puede recuperar menos.</w:t>
      </w:r>
    </w:p>
    <w:p w14:paraId="738610EB" w14:textId="77777777" w:rsidR="00DC74FE" w:rsidRDefault="00DC74FE">
      <w:pPr>
        <w:spacing w:line="289" w:lineRule="exact"/>
        <w:rPr>
          <w:rFonts w:ascii="Arial" w:eastAsia="Arial" w:hAnsi="Arial" w:cs="Arial"/>
          <w:color w:val="0000FF"/>
          <w:sz w:val="16"/>
          <w:szCs w:val="16"/>
        </w:rPr>
      </w:pPr>
    </w:p>
    <w:p w14:paraId="27B01F0E" w14:textId="77777777" w:rsidR="00DC74FE" w:rsidRDefault="001E4384">
      <w:pPr>
        <w:spacing w:line="226" w:lineRule="auto"/>
        <w:ind w:left="3"/>
        <w:jc w:val="both"/>
        <w:rPr>
          <w:sz w:val="20"/>
          <w:szCs w:val="20"/>
        </w:rPr>
      </w:pPr>
      <w:r>
        <w:rPr>
          <w:rFonts w:ascii="Arial" w:eastAsia="Arial" w:hAnsi="Arial" w:cs="Arial"/>
          <w:color w:val="231F20"/>
          <w:sz w:val="16"/>
          <w:szCs w:val="16"/>
        </w:rPr>
        <w:t>Es posible que no pueda cobrar temprano. Es posible que tenga que p</w:t>
      </w:r>
      <w:r>
        <w:rPr>
          <w:rFonts w:ascii="Arial" w:eastAsia="Arial" w:hAnsi="Arial" w:cs="Arial"/>
          <w:color w:val="231F20"/>
          <w:sz w:val="16"/>
          <w:szCs w:val="16"/>
        </w:rPr>
        <w:t>agar costos adicionales significativos para cobrar temprano. Es posible que no pueda vender sus acciones en el Fondo fácilmente o que tenga que vender a un precio que repercuta significativamente en la cantidad que reciba.</w:t>
      </w:r>
    </w:p>
    <w:p w14:paraId="637805D2" w14:textId="77777777" w:rsidR="00DC74FE" w:rsidRDefault="00DC74FE">
      <w:pPr>
        <w:spacing w:line="21" w:lineRule="exact"/>
        <w:rPr>
          <w:rFonts w:ascii="Arial" w:eastAsia="Arial" w:hAnsi="Arial" w:cs="Arial"/>
          <w:color w:val="0000FF"/>
          <w:sz w:val="16"/>
          <w:szCs w:val="16"/>
        </w:rPr>
      </w:pPr>
    </w:p>
    <w:p w14:paraId="456257E4" w14:textId="77777777" w:rsidR="00DC74FE" w:rsidRDefault="001E4384">
      <w:pPr>
        <w:spacing w:line="248" w:lineRule="auto"/>
        <w:ind w:left="3"/>
        <w:jc w:val="both"/>
        <w:rPr>
          <w:sz w:val="20"/>
          <w:szCs w:val="20"/>
        </w:rPr>
      </w:pPr>
      <w:r>
        <w:rPr>
          <w:rFonts w:ascii="Arial" w:eastAsia="Arial" w:hAnsi="Arial" w:cs="Arial"/>
          <w:color w:val="231F20"/>
          <w:sz w:val="16"/>
          <w:szCs w:val="16"/>
        </w:rPr>
        <w:t xml:space="preserve">El indicador de riesgo resumido </w:t>
      </w:r>
      <w:r>
        <w:rPr>
          <w:rFonts w:ascii="Arial" w:eastAsia="Arial" w:hAnsi="Arial" w:cs="Arial"/>
          <w:color w:val="231F20"/>
          <w:sz w:val="16"/>
          <w:szCs w:val="16"/>
        </w:rPr>
        <w:t>es una guía del nivel de riesgo de este Fondo en comparación con otros Fondos. Muestra la probabilidad de que el Fondo pierda</w:t>
      </w:r>
    </w:p>
    <w:p w14:paraId="463F29E8" w14:textId="77777777" w:rsidR="00DC74FE" w:rsidRDefault="001E4384">
      <w:pPr>
        <w:spacing w:line="20" w:lineRule="exact"/>
        <w:rPr>
          <w:rFonts w:ascii="Arial" w:eastAsia="Arial" w:hAnsi="Arial" w:cs="Arial"/>
          <w:color w:val="0000FF"/>
          <w:sz w:val="16"/>
          <w:szCs w:val="16"/>
        </w:rPr>
      </w:pPr>
      <w:r>
        <w:rPr>
          <w:rFonts w:ascii="Arial" w:eastAsia="Arial" w:hAnsi="Arial" w:cs="Arial"/>
          <w:color w:val="0000FF"/>
          <w:sz w:val="16"/>
          <w:szCs w:val="16"/>
        </w:rPr>
        <w:br w:type="column"/>
      </w:r>
    </w:p>
    <w:p w14:paraId="3B7B4B86" w14:textId="77777777" w:rsidR="00DC74FE" w:rsidRDefault="00DC74FE">
      <w:pPr>
        <w:spacing w:line="368" w:lineRule="exact"/>
        <w:rPr>
          <w:rFonts w:ascii="Arial" w:eastAsia="Arial" w:hAnsi="Arial" w:cs="Arial"/>
          <w:color w:val="0000FF"/>
          <w:sz w:val="16"/>
          <w:szCs w:val="16"/>
        </w:rPr>
      </w:pPr>
    </w:p>
    <w:p w14:paraId="2C2690F0" w14:textId="77777777" w:rsidR="00DC74FE" w:rsidRDefault="001E4384">
      <w:pPr>
        <w:spacing w:line="248" w:lineRule="auto"/>
        <w:jc w:val="both"/>
        <w:rPr>
          <w:sz w:val="20"/>
          <w:szCs w:val="20"/>
        </w:rPr>
      </w:pPr>
      <w:r>
        <w:rPr>
          <w:rFonts w:ascii="Arial" w:eastAsia="Arial" w:hAnsi="Arial" w:cs="Arial"/>
          <w:color w:val="231F20"/>
          <w:sz w:val="16"/>
          <w:szCs w:val="16"/>
        </w:rPr>
        <w:t>dinero debido a movimientos en los mercados o porque no somos capaces de pagarle.</w:t>
      </w:r>
    </w:p>
    <w:p w14:paraId="3A0FF5F2" w14:textId="77777777" w:rsidR="00DC74FE" w:rsidRDefault="00DC74FE">
      <w:pPr>
        <w:spacing w:line="14" w:lineRule="exact"/>
        <w:rPr>
          <w:rFonts w:ascii="Arial" w:eastAsia="Arial" w:hAnsi="Arial" w:cs="Arial"/>
          <w:color w:val="0000FF"/>
          <w:sz w:val="16"/>
          <w:szCs w:val="16"/>
        </w:rPr>
      </w:pPr>
    </w:p>
    <w:p w14:paraId="4BFB3DCE" w14:textId="77777777" w:rsidR="00DC74FE" w:rsidRDefault="001E4384">
      <w:pPr>
        <w:spacing w:line="226" w:lineRule="auto"/>
        <w:jc w:val="both"/>
        <w:rPr>
          <w:sz w:val="20"/>
          <w:szCs w:val="20"/>
        </w:rPr>
      </w:pPr>
      <w:r>
        <w:rPr>
          <w:rFonts w:ascii="Arial" w:eastAsia="Arial" w:hAnsi="Arial" w:cs="Arial"/>
          <w:color w:val="231F20"/>
          <w:sz w:val="16"/>
          <w:szCs w:val="16"/>
        </w:rPr>
        <w:t>Hemos clasificado este Fondo como 5 de 7, que es una clase de riesgo medio-alto. Esto califica las pérdidas potenciales de rendimiento futuro a un nivel medio-alto, y las malas condiciones del mercado probablemente afectarán la capacidad del Fondo para pag</w:t>
      </w:r>
      <w:r>
        <w:rPr>
          <w:rFonts w:ascii="Arial" w:eastAsia="Arial" w:hAnsi="Arial" w:cs="Arial"/>
          <w:color w:val="231F20"/>
          <w:sz w:val="16"/>
          <w:szCs w:val="16"/>
        </w:rPr>
        <w:t>arle.</w:t>
      </w:r>
    </w:p>
    <w:p w14:paraId="5630AD66" w14:textId="77777777" w:rsidR="00DC74FE" w:rsidRDefault="00DC74FE">
      <w:pPr>
        <w:spacing w:line="17" w:lineRule="exact"/>
        <w:rPr>
          <w:rFonts w:ascii="Arial" w:eastAsia="Arial" w:hAnsi="Arial" w:cs="Arial"/>
          <w:color w:val="0000FF"/>
          <w:sz w:val="16"/>
          <w:szCs w:val="16"/>
        </w:rPr>
      </w:pPr>
    </w:p>
    <w:p w14:paraId="645CB6E1" w14:textId="77777777" w:rsidR="00DC74FE" w:rsidRDefault="001E4384">
      <w:pPr>
        <w:spacing w:line="231" w:lineRule="auto"/>
        <w:jc w:val="both"/>
        <w:rPr>
          <w:sz w:val="20"/>
          <w:szCs w:val="20"/>
        </w:rPr>
      </w:pPr>
      <w:r>
        <w:rPr>
          <w:rFonts w:ascii="Arial" w:eastAsia="Arial" w:hAnsi="Arial" w:cs="Arial"/>
          <w:b/>
          <w:bCs/>
          <w:color w:val="231F20"/>
          <w:sz w:val="16"/>
          <w:szCs w:val="16"/>
        </w:rPr>
        <w:t>Esté atento al riesgo cambiario. Usted puede recibir pagos en una moneda diferente a la moneda base del Fondo, por lo que la devolución final que obtendrá dependerá del tipo de cambio entre las dos monedas. Este riesgo no se tiene en cuenta en el in</w:t>
      </w:r>
      <w:r>
        <w:rPr>
          <w:rFonts w:ascii="Arial" w:eastAsia="Arial" w:hAnsi="Arial" w:cs="Arial"/>
          <w:b/>
          <w:bCs/>
          <w:color w:val="231F20"/>
          <w:sz w:val="16"/>
          <w:szCs w:val="16"/>
        </w:rPr>
        <w:t>dicador que se muestra arriba.</w:t>
      </w:r>
    </w:p>
    <w:p w14:paraId="61829076" w14:textId="77777777" w:rsidR="00DC74FE" w:rsidRDefault="00DC74FE">
      <w:pPr>
        <w:spacing w:line="83" w:lineRule="exact"/>
        <w:rPr>
          <w:rFonts w:ascii="Arial" w:eastAsia="Arial" w:hAnsi="Arial" w:cs="Arial"/>
          <w:color w:val="0000FF"/>
          <w:sz w:val="16"/>
          <w:szCs w:val="16"/>
        </w:rPr>
      </w:pPr>
    </w:p>
    <w:p w14:paraId="5BAA5C76" w14:textId="77777777" w:rsidR="00DC74FE" w:rsidRDefault="001E4384">
      <w:pPr>
        <w:spacing w:line="248" w:lineRule="auto"/>
        <w:jc w:val="both"/>
        <w:rPr>
          <w:sz w:val="20"/>
          <w:szCs w:val="20"/>
        </w:rPr>
      </w:pPr>
      <w:r>
        <w:rPr>
          <w:rFonts w:ascii="Arial" w:eastAsia="Arial" w:hAnsi="Arial" w:cs="Arial"/>
          <w:color w:val="231F20"/>
          <w:sz w:val="16"/>
          <w:szCs w:val="16"/>
        </w:rPr>
        <w:t>Además de los riesgos de mercado incluidos en el indicador de riesgo, otros riesgos pueden afectar a la Caja, incluidos el riesgo de contraparte, el riesgo de seguimiento de índices y el riesgo de inversión.</w:t>
      </w:r>
    </w:p>
    <w:p w14:paraId="2BA226A1" w14:textId="77777777" w:rsidR="00DC74FE" w:rsidRDefault="00DC74FE">
      <w:pPr>
        <w:spacing w:line="14" w:lineRule="exact"/>
        <w:rPr>
          <w:rFonts w:ascii="Arial" w:eastAsia="Arial" w:hAnsi="Arial" w:cs="Arial"/>
          <w:color w:val="0000FF"/>
          <w:sz w:val="16"/>
          <w:szCs w:val="16"/>
        </w:rPr>
      </w:pPr>
    </w:p>
    <w:p w14:paraId="1FB82A2B" w14:textId="77777777" w:rsidR="00DC74FE" w:rsidRDefault="001E4384">
      <w:pPr>
        <w:spacing w:line="248" w:lineRule="auto"/>
        <w:jc w:val="both"/>
        <w:rPr>
          <w:sz w:val="20"/>
          <w:szCs w:val="20"/>
        </w:rPr>
      </w:pPr>
      <w:r>
        <w:rPr>
          <w:rFonts w:ascii="Arial" w:eastAsia="Arial" w:hAnsi="Arial" w:cs="Arial"/>
          <w:color w:val="231F20"/>
          <w:sz w:val="16"/>
          <w:szCs w:val="16"/>
        </w:rPr>
        <w:t>Para obtener má</w:t>
      </w:r>
      <w:r>
        <w:rPr>
          <w:rFonts w:ascii="Arial" w:eastAsia="Arial" w:hAnsi="Arial" w:cs="Arial"/>
          <w:color w:val="231F20"/>
          <w:sz w:val="16"/>
          <w:szCs w:val="16"/>
        </w:rPr>
        <w:t>s información sobre los riesgos, consulte la sección “Risk Factors” (Factores de riesgo) del folleto en nuestro sitio web https://global.vanguard.com</w:t>
      </w:r>
    </w:p>
    <w:p w14:paraId="17AD93B2" w14:textId="77777777" w:rsidR="00DC74FE" w:rsidRDefault="00DC74FE">
      <w:pPr>
        <w:spacing w:line="4" w:lineRule="exact"/>
        <w:rPr>
          <w:rFonts w:ascii="Arial" w:eastAsia="Arial" w:hAnsi="Arial" w:cs="Arial"/>
          <w:color w:val="0000FF"/>
          <w:sz w:val="16"/>
          <w:szCs w:val="16"/>
        </w:rPr>
      </w:pPr>
    </w:p>
    <w:p w14:paraId="07AA5A93" w14:textId="77777777" w:rsidR="00DC74FE" w:rsidRDefault="001E4384">
      <w:pPr>
        <w:spacing w:line="248" w:lineRule="auto"/>
        <w:jc w:val="both"/>
        <w:rPr>
          <w:sz w:val="20"/>
          <w:szCs w:val="20"/>
        </w:rPr>
      </w:pPr>
      <w:r>
        <w:rPr>
          <w:rFonts w:ascii="Arial" w:eastAsia="Arial" w:hAnsi="Arial" w:cs="Arial"/>
          <w:color w:val="231F20"/>
          <w:sz w:val="16"/>
          <w:szCs w:val="16"/>
        </w:rPr>
        <w:t>Este Fondo no incluye ninguna protección contra el rendimiento futuro del mercado, por lo que podría perd</w:t>
      </w:r>
      <w:r>
        <w:rPr>
          <w:rFonts w:ascii="Arial" w:eastAsia="Arial" w:hAnsi="Arial" w:cs="Arial"/>
          <w:color w:val="231F20"/>
          <w:sz w:val="16"/>
          <w:szCs w:val="16"/>
        </w:rPr>
        <w:t>er parte o toda su inversión.</w:t>
      </w:r>
    </w:p>
    <w:p w14:paraId="0DE4B5B7" w14:textId="77777777" w:rsidR="00DC74FE" w:rsidRDefault="00DC74FE">
      <w:pPr>
        <w:spacing w:line="13" w:lineRule="exact"/>
        <w:rPr>
          <w:rFonts w:ascii="Arial" w:eastAsia="Arial" w:hAnsi="Arial" w:cs="Arial"/>
          <w:color w:val="0000FF"/>
          <w:sz w:val="16"/>
          <w:szCs w:val="16"/>
        </w:rPr>
      </w:pPr>
    </w:p>
    <w:p w14:paraId="635C67A0" w14:textId="77777777" w:rsidR="00DC74FE" w:rsidRDefault="001E4384">
      <w:pPr>
        <w:spacing w:line="232" w:lineRule="auto"/>
        <w:jc w:val="both"/>
        <w:rPr>
          <w:sz w:val="20"/>
          <w:szCs w:val="20"/>
        </w:rPr>
      </w:pPr>
      <w:r>
        <w:rPr>
          <w:rFonts w:ascii="Arial" w:eastAsia="Arial" w:hAnsi="Arial" w:cs="Arial"/>
          <w:color w:val="231F20"/>
          <w:sz w:val="16"/>
          <w:szCs w:val="16"/>
        </w:rPr>
        <w:t>El valor de las acciones y de los valores relacionados con las acciones puede verse afectado por los movimientos diarios del mercado de valores. Otros factores influyentes son los acontecimientos políticos, las noticias econó</w:t>
      </w:r>
      <w:r>
        <w:rPr>
          <w:rFonts w:ascii="Arial" w:eastAsia="Arial" w:hAnsi="Arial" w:cs="Arial"/>
          <w:color w:val="231F20"/>
          <w:sz w:val="16"/>
          <w:szCs w:val="16"/>
        </w:rPr>
        <w:t>micas, los ingresos de las empresas y los acontecimientos empresariales importantes.</w:t>
      </w:r>
    </w:p>
    <w:p w14:paraId="66204FF1" w14:textId="77777777" w:rsidR="00DC74FE" w:rsidRDefault="00DC74FE">
      <w:pPr>
        <w:sectPr w:rsidR="00DC74FE">
          <w:type w:val="continuous"/>
          <w:pgSz w:w="11900" w:h="16838"/>
          <w:pgMar w:top="552" w:right="406" w:bottom="1440" w:left="397" w:header="0" w:footer="0" w:gutter="0"/>
          <w:cols w:num="2" w:space="720" w:equalWidth="0">
            <w:col w:w="5423" w:space="260"/>
            <w:col w:w="5420"/>
          </w:cols>
        </w:sectPr>
      </w:pPr>
    </w:p>
    <w:p w14:paraId="2DA88B39" w14:textId="77777777" w:rsidR="00DC74FE" w:rsidRDefault="001E4384">
      <w:pPr>
        <w:ind w:left="3"/>
        <w:rPr>
          <w:sz w:val="20"/>
          <w:szCs w:val="20"/>
        </w:rPr>
      </w:pPr>
      <w:bookmarkStart w:id="1" w:name="page2"/>
      <w:bookmarkEnd w:id="1"/>
      <w:r>
        <w:rPr>
          <w:rFonts w:ascii="Arial" w:eastAsia="Arial" w:hAnsi="Arial" w:cs="Arial"/>
          <w:noProof/>
          <w:color w:val="231F20"/>
          <w:sz w:val="24"/>
          <w:szCs w:val="24"/>
        </w:rPr>
        <w:drawing>
          <wp:anchor distT="0" distB="0" distL="114300" distR="114300" simplePos="0" relativeHeight="251657728" behindDoc="1" locked="0" layoutInCell="0" allowOverlap="1" wp14:anchorId="097F6726" wp14:editId="07777777">
            <wp:simplePos x="0" y="0"/>
            <wp:positionH relativeFrom="page">
              <wp:posOffset>233045</wp:posOffset>
            </wp:positionH>
            <wp:positionV relativeFrom="page">
              <wp:posOffset>334010</wp:posOffset>
            </wp:positionV>
            <wp:extent cx="7094220" cy="444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r>
        <w:rPr>
          <w:rFonts w:ascii="Arial" w:eastAsia="Arial" w:hAnsi="Arial" w:cs="Arial"/>
          <w:color w:val="231F20"/>
          <w:sz w:val="24"/>
          <w:szCs w:val="24"/>
        </w:rPr>
        <w:t>Escenarios de rendimiento</w:t>
      </w:r>
    </w:p>
    <w:p w14:paraId="2DBF0D7D" w14:textId="77777777" w:rsidR="00DC74FE" w:rsidRDefault="00DC74FE">
      <w:pPr>
        <w:spacing w:line="112" w:lineRule="exact"/>
        <w:rPr>
          <w:sz w:val="20"/>
          <w:szCs w:val="20"/>
        </w:rPr>
      </w:pPr>
    </w:p>
    <w:p w14:paraId="2C5095D9" w14:textId="77777777" w:rsidR="00DC74FE" w:rsidRDefault="001E4384">
      <w:pPr>
        <w:spacing w:line="248" w:lineRule="auto"/>
        <w:ind w:left="3"/>
        <w:rPr>
          <w:sz w:val="20"/>
          <w:szCs w:val="20"/>
        </w:rPr>
      </w:pPr>
      <w:r>
        <w:rPr>
          <w:rFonts w:ascii="Arial" w:eastAsia="Arial" w:hAnsi="Arial" w:cs="Arial"/>
          <w:color w:val="231F20"/>
          <w:sz w:val="16"/>
          <w:szCs w:val="16"/>
        </w:rPr>
        <w:t>Lo que obtendrá de este Fondo depende del rendimiento futuro del mercado. La evolución del mercado en el futuro es incierta y no puede predecirse con precisión.</w:t>
      </w:r>
    </w:p>
    <w:p w14:paraId="6B62F1B3" w14:textId="77777777" w:rsidR="00DC74FE" w:rsidRDefault="00DC74FE">
      <w:pPr>
        <w:spacing w:line="14" w:lineRule="exact"/>
        <w:rPr>
          <w:sz w:val="20"/>
          <w:szCs w:val="20"/>
        </w:rPr>
      </w:pPr>
    </w:p>
    <w:p w14:paraId="0FE9A764" w14:textId="77777777" w:rsidR="00DC74FE" w:rsidRDefault="001E4384">
      <w:pPr>
        <w:spacing w:line="248" w:lineRule="auto"/>
        <w:ind w:left="3"/>
        <w:rPr>
          <w:sz w:val="20"/>
          <w:szCs w:val="20"/>
        </w:rPr>
      </w:pPr>
      <w:r>
        <w:rPr>
          <w:rFonts w:ascii="Arial" w:eastAsia="Arial" w:hAnsi="Arial" w:cs="Arial"/>
          <w:color w:val="231F20"/>
          <w:sz w:val="16"/>
          <w:szCs w:val="16"/>
        </w:rPr>
        <w:t xml:space="preserve">Los escenarios desfavorables, moderados y favorables mostrados son ilustraciones que utilizan </w:t>
      </w:r>
      <w:r>
        <w:rPr>
          <w:rFonts w:ascii="Arial" w:eastAsia="Arial" w:hAnsi="Arial" w:cs="Arial"/>
          <w:color w:val="231F20"/>
          <w:sz w:val="16"/>
          <w:szCs w:val="16"/>
        </w:rPr>
        <w:t>el peor, promedio y mejor desempeño del Índice en los últimos 10 años. Los mercados podrían desarrollarse de manera muy diferente en el futuro.</w:t>
      </w:r>
    </w:p>
    <w:p w14:paraId="325FC56C" w14:textId="77777777" w:rsidR="00DC74FE" w:rsidRDefault="001E4384">
      <w:pPr>
        <w:spacing w:line="20" w:lineRule="exact"/>
        <w:rPr>
          <w:sz w:val="20"/>
          <w:szCs w:val="20"/>
        </w:rPr>
      </w:pPr>
      <w:r>
        <w:rPr>
          <w:noProof/>
          <w:sz w:val="20"/>
          <w:szCs w:val="20"/>
        </w:rPr>
        <w:drawing>
          <wp:anchor distT="0" distB="0" distL="114300" distR="114300" simplePos="0" relativeHeight="251658752" behindDoc="1" locked="0" layoutInCell="0" allowOverlap="1" wp14:anchorId="603281D7" wp14:editId="07777777">
            <wp:simplePos x="0" y="0"/>
            <wp:positionH relativeFrom="column">
              <wp:posOffset>-18415</wp:posOffset>
            </wp:positionH>
            <wp:positionV relativeFrom="paragraph">
              <wp:posOffset>43815</wp:posOffset>
            </wp:positionV>
            <wp:extent cx="7058025" cy="2673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7058025" cy="2673350"/>
                    </a:xfrm>
                    <a:prstGeom prst="rect">
                      <a:avLst/>
                    </a:prstGeom>
                    <a:noFill/>
                  </pic:spPr>
                </pic:pic>
              </a:graphicData>
            </a:graphic>
          </wp:anchor>
        </w:drawing>
      </w:r>
    </w:p>
    <w:p w14:paraId="02F2C34E" w14:textId="77777777" w:rsidR="00DC74FE" w:rsidRDefault="00DC74FE">
      <w:pPr>
        <w:spacing w:line="115" w:lineRule="exact"/>
        <w:rPr>
          <w:sz w:val="20"/>
          <w:szCs w:val="20"/>
        </w:rPr>
      </w:pPr>
    </w:p>
    <w:p w14:paraId="55F3CE93" w14:textId="77777777" w:rsidR="00DC74FE" w:rsidRDefault="001E4384">
      <w:pPr>
        <w:tabs>
          <w:tab w:val="left" w:pos="7403"/>
        </w:tabs>
        <w:ind w:left="63"/>
        <w:rPr>
          <w:sz w:val="20"/>
          <w:szCs w:val="20"/>
        </w:rPr>
      </w:pPr>
      <w:r>
        <w:rPr>
          <w:rFonts w:ascii="Arial" w:eastAsia="Arial" w:hAnsi="Arial" w:cs="Arial"/>
          <w:b/>
          <w:bCs/>
          <w:color w:val="231F20"/>
          <w:sz w:val="16"/>
          <w:szCs w:val="16"/>
        </w:rPr>
        <w:t>Período de espera recomendado:</w:t>
      </w:r>
      <w:r>
        <w:rPr>
          <w:rFonts w:ascii="Arial" w:eastAsia="Arial" w:hAnsi="Arial" w:cs="Arial"/>
          <w:b/>
          <w:bCs/>
          <w:color w:val="231F20"/>
          <w:sz w:val="16"/>
          <w:szCs w:val="16"/>
        </w:rPr>
        <w:tab/>
        <w:t>5 años</w:t>
      </w:r>
    </w:p>
    <w:p w14:paraId="680A4E5D" w14:textId="77777777" w:rsidR="00DC74FE" w:rsidRDefault="00DC74FE">
      <w:pPr>
        <w:spacing w:line="113" w:lineRule="exact"/>
        <w:rPr>
          <w:sz w:val="20"/>
          <w:szCs w:val="20"/>
        </w:rPr>
      </w:pPr>
    </w:p>
    <w:p w14:paraId="69914C59" w14:textId="77777777" w:rsidR="00DC74FE" w:rsidRDefault="001E4384">
      <w:pPr>
        <w:tabs>
          <w:tab w:val="left" w:pos="7403"/>
        </w:tabs>
        <w:ind w:left="63"/>
        <w:rPr>
          <w:sz w:val="20"/>
          <w:szCs w:val="20"/>
        </w:rPr>
      </w:pPr>
      <w:r>
        <w:rPr>
          <w:rFonts w:ascii="Arial" w:eastAsia="Arial" w:hAnsi="Arial" w:cs="Arial"/>
          <w:b/>
          <w:bCs/>
          <w:color w:val="231F20"/>
          <w:sz w:val="16"/>
          <w:szCs w:val="16"/>
        </w:rPr>
        <w:t>Ejemplo de inversión:</w:t>
      </w:r>
      <w:r>
        <w:rPr>
          <w:rFonts w:ascii="Arial" w:eastAsia="Arial" w:hAnsi="Arial" w:cs="Arial"/>
          <w:b/>
          <w:bCs/>
          <w:color w:val="231F20"/>
          <w:sz w:val="16"/>
          <w:szCs w:val="16"/>
        </w:rPr>
        <w:tab/>
        <w:t>10.000 $</w:t>
      </w:r>
    </w:p>
    <w:p w14:paraId="19219836" w14:textId="77777777" w:rsidR="00DC74FE" w:rsidRDefault="00DC74FE">
      <w:pPr>
        <w:spacing w:line="73" w:lineRule="exact"/>
        <w:rPr>
          <w:sz w:val="20"/>
          <w:szCs w:val="20"/>
        </w:rPr>
      </w:pPr>
    </w:p>
    <w:p w14:paraId="7AEE1221" w14:textId="77777777" w:rsidR="00DC74FE" w:rsidRDefault="001E4384">
      <w:pPr>
        <w:ind w:left="9723"/>
        <w:rPr>
          <w:sz w:val="20"/>
          <w:szCs w:val="20"/>
        </w:rPr>
      </w:pPr>
      <w:r>
        <w:rPr>
          <w:rFonts w:ascii="Arial" w:eastAsia="Arial" w:hAnsi="Arial" w:cs="Arial"/>
          <w:b/>
          <w:bCs/>
          <w:color w:val="231F20"/>
          <w:sz w:val="16"/>
          <w:szCs w:val="16"/>
        </w:rPr>
        <w:t>Si sale después de las 5</w:t>
      </w:r>
    </w:p>
    <w:p w14:paraId="2DA0C67A" w14:textId="77777777" w:rsidR="00DC74FE" w:rsidRDefault="001E4384">
      <w:pPr>
        <w:spacing w:line="192" w:lineRule="auto"/>
        <w:ind w:left="7503"/>
        <w:rPr>
          <w:sz w:val="20"/>
          <w:szCs w:val="20"/>
        </w:rPr>
      </w:pPr>
      <w:r>
        <w:rPr>
          <w:rFonts w:ascii="Arial" w:eastAsia="Arial" w:hAnsi="Arial" w:cs="Arial"/>
          <w:b/>
          <w:bCs/>
          <w:color w:val="231F20"/>
          <w:sz w:val="10"/>
          <w:szCs w:val="10"/>
        </w:rPr>
        <w:t>Si sale después de 1 año</w:t>
      </w:r>
    </w:p>
    <w:p w14:paraId="6298C2B6" w14:textId="77777777" w:rsidR="00DC74FE" w:rsidRDefault="001E4384">
      <w:pPr>
        <w:spacing w:line="230" w:lineRule="auto"/>
        <w:ind w:left="10583"/>
        <w:rPr>
          <w:sz w:val="20"/>
          <w:szCs w:val="20"/>
        </w:rPr>
      </w:pPr>
      <w:r>
        <w:rPr>
          <w:rFonts w:ascii="Arial" w:eastAsia="Arial" w:hAnsi="Arial" w:cs="Arial"/>
          <w:b/>
          <w:bCs/>
          <w:color w:val="231F20"/>
          <w:sz w:val="16"/>
          <w:szCs w:val="16"/>
        </w:rPr>
        <w:t>años</w:t>
      </w:r>
    </w:p>
    <w:p w14:paraId="296FEF7D" w14:textId="77777777" w:rsidR="00DC74FE" w:rsidRDefault="00DC74FE">
      <w:pPr>
        <w:sectPr w:rsidR="00DC74FE">
          <w:pgSz w:w="11900" w:h="16838"/>
          <w:pgMar w:top="606" w:right="406" w:bottom="1440" w:left="397" w:header="0" w:footer="0" w:gutter="0"/>
          <w:cols w:space="720" w:equalWidth="0">
            <w:col w:w="11103"/>
          </w:cols>
        </w:sectPr>
      </w:pPr>
    </w:p>
    <w:p w14:paraId="7194DBDC" w14:textId="77777777" w:rsidR="00DC74FE" w:rsidRDefault="00DC74FE">
      <w:pPr>
        <w:spacing w:line="69" w:lineRule="exact"/>
        <w:rPr>
          <w:sz w:val="20"/>
          <w:szCs w:val="20"/>
        </w:rPr>
      </w:pPr>
    </w:p>
    <w:p w14:paraId="6E3F1896" w14:textId="77777777" w:rsidR="00DC74FE" w:rsidRDefault="001E4384">
      <w:pPr>
        <w:ind w:left="63"/>
        <w:rPr>
          <w:sz w:val="20"/>
          <w:szCs w:val="20"/>
        </w:rPr>
      </w:pPr>
      <w:r>
        <w:rPr>
          <w:rFonts w:ascii="Arial" w:eastAsia="Arial" w:hAnsi="Arial" w:cs="Arial"/>
          <w:b/>
          <w:bCs/>
          <w:color w:val="231F20"/>
          <w:sz w:val="16"/>
          <w:szCs w:val="16"/>
        </w:rPr>
        <w:t>Escenarios</w:t>
      </w:r>
    </w:p>
    <w:p w14:paraId="769D0D3C" w14:textId="77777777" w:rsidR="00DC74FE" w:rsidRDefault="00DC74FE">
      <w:pPr>
        <w:spacing w:line="123" w:lineRule="exact"/>
        <w:rPr>
          <w:sz w:val="20"/>
          <w:szCs w:val="20"/>
        </w:rPr>
      </w:pPr>
    </w:p>
    <w:p w14:paraId="60BBF067" w14:textId="77777777" w:rsidR="00DC74FE" w:rsidRDefault="001E4384">
      <w:pPr>
        <w:ind w:left="63"/>
        <w:rPr>
          <w:sz w:val="20"/>
          <w:szCs w:val="20"/>
        </w:rPr>
      </w:pPr>
      <w:r>
        <w:rPr>
          <w:rFonts w:ascii="Arial" w:eastAsia="Arial" w:hAnsi="Arial" w:cs="Arial"/>
          <w:b/>
          <w:bCs/>
          <w:color w:val="231F20"/>
          <w:sz w:val="16"/>
          <w:szCs w:val="16"/>
        </w:rPr>
        <w:t>Mínimo</w:t>
      </w:r>
    </w:p>
    <w:p w14:paraId="54CD245A" w14:textId="77777777" w:rsidR="00DC74FE" w:rsidRDefault="00DC74FE">
      <w:pPr>
        <w:spacing w:line="277" w:lineRule="exact"/>
        <w:rPr>
          <w:sz w:val="20"/>
          <w:szCs w:val="20"/>
        </w:rPr>
      </w:pPr>
    </w:p>
    <w:p w14:paraId="14AFF37B" w14:textId="77777777" w:rsidR="00DC74FE" w:rsidRDefault="001E4384">
      <w:pPr>
        <w:ind w:left="63"/>
        <w:rPr>
          <w:sz w:val="20"/>
          <w:szCs w:val="20"/>
        </w:rPr>
      </w:pPr>
      <w:r>
        <w:rPr>
          <w:rFonts w:ascii="Arial" w:eastAsia="Arial" w:hAnsi="Arial" w:cs="Arial"/>
          <w:b/>
          <w:bCs/>
          <w:color w:val="231F20"/>
          <w:sz w:val="16"/>
          <w:szCs w:val="16"/>
        </w:rPr>
        <w:t>Estrés</w:t>
      </w:r>
    </w:p>
    <w:p w14:paraId="1231BE67" w14:textId="77777777" w:rsidR="00DC74FE" w:rsidRDefault="00DC74FE">
      <w:pPr>
        <w:spacing w:line="200" w:lineRule="exact"/>
        <w:rPr>
          <w:sz w:val="20"/>
          <w:szCs w:val="20"/>
        </w:rPr>
      </w:pPr>
    </w:p>
    <w:p w14:paraId="36FEB5B0" w14:textId="77777777" w:rsidR="00DC74FE" w:rsidRDefault="00DC74FE">
      <w:pPr>
        <w:spacing w:line="231" w:lineRule="exact"/>
        <w:rPr>
          <w:sz w:val="20"/>
          <w:szCs w:val="20"/>
        </w:rPr>
      </w:pPr>
    </w:p>
    <w:p w14:paraId="0845FF8E" w14:textId="77777777" w:rsidR="00DC74FE" w:rsidRDefault="001E4384">
      <w:pPr>
        <w:ind w:left="63"/>
        <w:rPr>
          <w:sz w:val="20"/>
          <w:szCs w:val="20"/>
        </w:rPr>
      </w:pPr>
      <w:r>
        <w:rPr>
          <w:rFonts w:ascii="Arial" w:eastAsia="Arial" w:hAnsi="Arial" w:cs="Arial"/>
          <w:b/>
          <w:bCs/>
          <w:color w:val="231F20"/>
          <w:sz w:val="15"/>
          <w:szCs w:val="15"/>
        </w:rPr>
        <w:t>Desfavorable</w:t>
      </w:r>
    </w:p>
    <w:p w14:paraId="30D7AA69" w14:textId="77777777" w:rsidR="00DC74FE" w:rsidRDefault="00DC74FE">
      <w:pPr>
        <w:spacing w:line="200" w:lineRule="exact"/>
        <w:rPr>
          <w:sz w:val="20"/>
          <w:szCs w:val="20"/>
        </w:rPr>
      </w:pPr>
    </w:p>
    <w:p w14:paraId="7196D064" w14:textId="77777777" w:rsidR="00DC74FE" w:rsidRDefault="00DC74FE">
      <w:pPr>
        <w:spacing w:line="242" w:lineRule="exact"/>
        <w:rPr>
          <w:sz w:val="20"/>
          <w:szCs w:val="20"/>
        </w:rPr>
      </w:pPr>
    </w:p>
    <w:p w14:paraId="592F20EF" w14:textId="77777777" w:rsidR="00DC74FE" w:rsidRDefault="001E4384">
      <w:pPr>
        <w:ind w:left="63"/>
        <w:rPr>
          <w:sz w:val="20"/>
          <w:szCs w:val="20"/>
        </w:rPr>
      </w:pPr>
      <w:r>
        <w:rPr>
          <w:rFonts w:ascii="Arial" w:eastAsia="Arial" w:hAnsi="Arial" w:cs="Arial"/>
          <w:b/>
          <w:bCs/>
          <w:color w:val="231F20"/>
          <w:sz w:val="16"/>
          <w:szCs w:val="16"/>
        </w:rPr>
        <w:t>Moderado</w:t>
      </w:r>
    </w:p>
    <w:p w14:paraId="34FF1C98" w14:textId="77777777" w:rsidR="00DC74FE" w:rsidRDefault="00DC74FE">
      <w:pPr>
        <w:spacing w:line="200" w:lineRule="exact"/>
        <w:rPr>
          <w:sz w:val="20"/>
          <w:szCs w:val="20"/>
        </w:rPr>
      </w:pPr>
    </w:p>
    <w:p w14:paraId="6D072C0D" w14:textId="77777777" w:rsidR="00DC74FE" w:rsidRDefault="00DC74FE">
      <w:pPr>
        <w:spacing w:line="231" w:lineRule="exact"/>
        <w:rPr>
          <w:sz w:val="20"/>
          <w:szCs w:val="20"/>
        </w:rPr>
      </w:pPr>
    </w:p>
    <w:p w14:paraId="14FBD3A0" w14:textId="77777777" w:rsidR="00DC74FE" w:rsidRDefault="001E4384">
      <w:pPr>
        <w:ind w:left="63"/>
        <w:rPr>
          <w:sz w:val="20"/>
          <w:szCs w:val="20"/>
        </w:rPr>
      </w:pPr>
      <w:r>
        <w:rPr>
          <w:rFonts w:ascii="Arial" w:eastAsia="Arial" w:hAnsi="Arial" w:cs="Arial"/>
          <w:b/>
          <w:bCs/>
          <w:color w:val="231F20"/>
          <w:sz w:val="16"/>
          <w:szCs w:val="16"/>
        </w:rPr>
        <w:t>Favorable</w:t>
      </w:r>
    </w:p>
    <w:p w14:paraId="48A21919" w14:textId="77777777" w:rsidR="00DC74FE" w:rsidRDefault="001E4384">
      <w:pPr>
        <w:spacing w:line="20" w:lineRule="exact"/>
        <w:rPr>
          <w:sz w:val="20"/>
          <w:szCs w:val="20"/>
        </w:rPr>
      </w:pPr>
      <w:r>
        <w:rPr>
          <w:sz w:val="20"/>
          <w:szCs w:val="20"/>
        </w:rPr>
        <w:br w:type="column"/>
      </w:r>
    </w:p>
    <w:p w14:paraId="6BD18F9B" w14:textId="77777777" w:rsidR="00DC74FE" w:rsidRDefault="00DC74FE">
      <w:pPr>
        <w:spacing w:line="376" w:lineRule="exact"/>
        <w:rPr>
          <w:sz w:val="20"/>
          <w:szCs w:val="20"/>
        </w:rPr>
      </w:pPr>
    </w:p>
    <w:p w14:paraId="238601FE" w14:textId="77777777" w:rsidR="00DC74FE" w:rsidRDefault="00DC74FE">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4920"/>
        <w:gridCol w:w="3820"/>
        <w:gridCol w:w="820"/>
      </w:tblGrid>
      <w:tr w:rsidR="00DC74FE" w14:paraId="6E114722" w14:textId="77777777">
        <w:trPr>
          <w:trHeight w:val="229"/>
        </w:trPr>
        <w:tc>
          <w:tcPr>
            <w:tcW w:w="8740" w:type="dxa"/>
            <w:gridSpan w:val="2"/>
            <w:vAlign w:val="bottom"/>
          </w:tcPr>
          <w:p w14:paraId="4AE52B9F" w14:textId="77777777" w:rsidR="00DC74FE" w:rsidRDefault="001E4384">
            <w:pPr>
              <w:rPr>
                <w:sz w:val="20"/>
                <w:szCs w:val="20"/>
              </w:rPr>
            </w:pPr>
            <w:r>
              <w:rPr>
                <w:rFonts w:ascii="Arial" w:eastAsia="Arial" w:hAnsi="Arial" w:cs="Arial"/>
                <w:b/>
                <w:bCs/>
                <w:color w:val="231F20"/>
                <w:sz w:val="16"/>
                <w:szCs w:val="16"/>
              </w:rPr>
              <w:t>No hay un retorno mínimo garantizado si sale antes de 5 años. Podrías perder parte o toda tu inversión.</w:t>
            </w:r>
          </w:p>
        </w:tc>
        <w:tc>
          <w:tcPr>
            <w:tcW w:w="820" w:type="dxa"/>
            <w:vAlign w:val="bottom"/>
          </w:tcPr>
          <w:p w14:paraId="0F3CABC7" w14:textId="77777777" w:rsidR="00DC74FE" w:rsidRDefault="00DC74FE">
            <w:pPr>
              <w:rPr>
                <w:sz w:val="19"/>
                <w:szCs w:val="19"/>
              </w:rPr>
            </w:pPr>
          </w:p>
        </w:tc>
      </w:tr>
      <w:tr w:rsidR="00DC74FE" w14:paraId="06DAE6FE" w14:textId="77777777">
        <w:trPr>
          <w:trHeight w:val="307"/>
        </w:trPr>
        <w:tc>
          <w:tcPr>
            <w:tcW w:w="4920" w:type="dxa"/>
            <w:vAlign w:val="bottom"/>
          </w:tcPr>
          <w:p w14:paraId="4300BDB9" w14:textId="77777777" w:rsidR="00DC74FE" w:rsidRDefault="001E4384">
            <w:pPr>
              <w:rPr>
                <w:sz w:val="20"/>
                <w:szCs w:val="20"/>
              </w:rPr>
            </w:pPr>
            <w:r>
              <w:rPr>
                <w:rFonts w:ascii="Arial" w:eastAsia="Arial" w:hAnsi="Arial" w:cs="Arial"/>
                <w:b/>
                <w:bCs/>
                <w:color w:val="231F20"/>
                <w:sz w:val="16"/>
                <w:szCs w:val="16"/>
              </w:rPr>
              <w:t>Lo que podría recuperar después de los costos</w:t>
            </w:r>
          </w:p>
        </w:tc>
        <w:tc>
          <w:tcPr>
            <w:tcW w:w="3820" w:type="dxa"/>
            <w:vAlign w:val="bottom"/>
          </w:tcPr>
          <w:p w14:paraId="37560D0E" w14:textId="77777777" w:rsidR="00DC74FE" w:rsidRDefault="001E4384">
            <w:pPr>
              <w:ind w:right="940"/>
              <w:jc w:val="right"/>
              <w:rPr>
                <w:sz w:val="20"/>
                <w:szCs w:val="20"/>
              </w:rPr>
            </w:pPr>
            <w:r>
              <w:rPr>
                <w:rFonts w:ascii="Arial" w:eastAsia="Arial" w:hAnsi="Arial" w:cs="Arial"/>
                <w:color w:val="231F20"/>
                <w:sz w:val="16"/>
                <w:szCs w:val="16"/>
              </w:rPr>
              <w:t>970 $</w:t>
            </w:r>
          </w:p>
        </w:tc>
        <w:tc>
          <w:tcPr>
            <w:tcW w:w="820" w:type="dxa"/>
            <w:vAlign w:val="bottom"/>
          </w:tcPr>
          <w:p w14:paraId="5E45B16A" w14:textId="77777777" w:rsidR="00DC74FE" w:rsidRDefault="001E4384">
            <w:pPr>
              <w:jc w:val="right"/>
              <w:rPr>
                <w:sz w:val="20"/>
                <w:szCs w:val="20"/>
              </w:rPr>
            </w:pPr>
            <w:r>
              <w:rPr>
                <w:rFonts w:ascii="Arial" w:eastAsia="Arial" w:hAnsi="Arial" w:cs="Arial"/>
                <w:color w:val="231F20"/>
                <w:sz w:val="16"/>
                <w:szCs w:val="16"/>
              </w:rPr>
              <w:t>1.010 $</w:t>
            </w:r>
          </w:p>
        </w:tc>
      </w:tr>
      <w:tr w:rsidR="00DC74FE" w14:paraId="2CA71E58" w14:textId="77777777">
        <w:trPr>
          <w:trHeight w:val="307"/>
        </w:trPr>
        <w:tc>
          <w:tcPr>
            <w:tcW w:w="4920" w:type="dxa"/>
            <w:vAlign w:val="bottom"/>
          </w:tcPr>
          <w:p w14:paraId="690F2E15" w14:textId="77777777" w:rsidR="00DC74FE" w:rsidRDefault="001E4384">
            <w:pPr>
              <w:rPr>
                <w:sz w:val="20"/>
                <w:szCs w:val="20"/>
              </w:rPr>
            </w:pPr>
            <w:r>
              <w:rPr>
                <w:rFonts w:ascii="Arial" w:eastAsia="Arial" w:hAnsi="Arial" w:cs="Arial"/>
                <w:b/>
                <w:bCs/>
                <w:color w:val="231F20"/>
                <w:sz w:val="16"/>
                <w:szCs w:val="16"/>
              </w:rPr>
              <w:t>Rendimiento medio anual</w:t>
            </w:r>
          </w:p>
        </w:tc>
        <w:tc>
          <w:tcPr>
            <w:tcW w:w="3820" w:type="dxa"/>
            <w:vAlign w:val="bottom"/>
          </w:tcPr>
          <w:p w14:paraId="4B2EDBC0" w14:textId="77777777" w:rsidR="00DC74FE" w:rsidRDefault="001E4384">
            <w:pPr>
              <w:ind w:right="940"/>
              <w:jc w:val="right"/>
              <w:rPr>
                <w:sz w:val="20"/>
                <w:szCs w:val="20"/>
              </w:rPr>
            </w:pPr>
            <w:r>
              <w:rPr>
                <w:rFonts w:ascii="Arial" w:eastAsia="Arial" w:hAnsi="Arial" w:cs="Arial"/>
                <w:color w:val="231F20"/>
                <w:sz w:val="16"/>
                <w:szCs w:val="16"/>
              </w:rPr>
              <w:t>-90,30%</w:t>
            </w:r>
          </w:p>
        </w:tc>
        <w:tc>
          <w:tcPr>
            <w:tcW w:w="820" w:type="dxa"/>
            <w:vAlign w:val="bottom"/>
          </w:tcPr>
          <w:p w14:paraId="58D1BA86" w14:textId="77777777" w:rsidR="00DC74FE" w:rsidRDefault="001E4384">
            <w:pPr>
              <w:jc w:val="right"/>
              <w:rPr>
                <w:sz w:val="20"/>
                <w:szCs w:val="20"/>
              </w:rPr>
            </w:pPr>
            <w:r>
              <w:rPr>
                <w:rFonts w:ascii="Arial" w:eastAsia="Arial" w:hAnsi="Arial" w:cs="Arial"/>
                <w:color w:val="231F20"/>
                <w:sz w:val="16"/>
                <w:szCs w:val="16"/>
              </w:rPr>
              <w:t>-36,78 %</w:t>
            </w:r>
          </w:p>
        </w:tc>
      </w:tr>
      <w:tr w:rsidR="00DC74FE" w14:paraId="5EB0585D" w14:textId="77777777">
        <w:trPr>
          <w:trHeight w:val="307"/>
        </w:trPr>
        <w:tc>
          <w:tcPr>
            <w:tcW w:w="4920" w:type="dxa"/>
            <w:vAlign w:val="bottom"/>
          </w:tcPr>
          <w:p w14:paraId="154CE13B" w14:textId="77777777" w:rsidR="00DC74FE" w:rsidRDefault="001E4384">
            <w:pPr>
              <w:rPr>
                <w:sz w:val="20"/>
                <w:szCs w:val="20"/>
              </w:rPr>
            </w:pPr>
            <w:r>
              <w:rPr>
                <w:rFonts w:ascii="Arial" w:eastAsia="Arial" w:hAnsi="Arial" w:cs="Arial"/>
                <w:b/>
                <w:bCs/>
                <w:color w:val="231F20"/>
                <w:sz w:val="16"/>
                <w:szCs w:val="16"/>
              </w:rPr>
              <w:t>Lo que podría recuperar después de los costos</w:t>
            </w:r>
          </w:p>
        </w:tc>
        <w:tc>
          <w:tcPr>
            <w:tcW w:w="3820" w:type="dxa"/>
            <w:vAlign w:val="bottom"/>
          </w:tcPr>
          <w:p w14:paraId="72F3BB30" w14:textId="77777777" w:rsidR="00DC74FE" w:rsidRDefault="001E4384">
            <w:pPr>
              <w:ind w:right="940"/>
              <w:jc w:val="right"/>
              <w:rPr>
                <w:sz w:val="20"/>
                <w:szCs w:val="20"/>
              </w:rPr>
            </w:pPr>
            <w:r>
              <w:rPr>
                <w:rFonts w:ascii="Arial" w:eastAsia="Arial" w:hAnsi="Arial" w:cs="Arial"/>
                <w:color w:val="231F20"/>
                <w:sz w:val="16"/>
                <w:szCs w:val="16"/>
              </w:rPr>
              <w:t>8.140 $</w:t>
            </w:r>
          </w:p>
        </w:tc>
        <w:tc>
          <w:tcPr>
            <w:tcW w:w="820" w:type="dxa"/>
            <w:vAlign w:val="bottom"/>
          </w:tcPr>
          <w:p w14:paraId="40AFB56F" w14:textId="77777777" w:rsidR="00DC74FE" w:rsidRDefault="001E4384">
            <w:pPr>
              <w:jc w:val="right"/>
              <w:rPr>
                <w:sz w:val="20"/>
                <w:szCs w:val="20"/>
              </w:rPr>
            </w:pPr>
            <w:r>
              <w:rPr>
                <w:rFonts w:ascii="Arial" w:eastAsia="Arial" w:hAnsi="Arial" w:cs="Arial"/>
                <w:color w:val="231F20"/>
                <w:sz w:val="16"/>
                <w:szCs w:val="16"/>
              </w:rPr>
              <w:t>8.630 $</w:t>
            </w:r>
          </w:p>
        </w:tc>
      </w:tr>
      <w:tr w:rsidR="00DC74FE" w14:paraId="01CEF76E" w14:textId="77777777">
        <w:trPr>
          <w:trHeight w:val="307"/>
        </w:trPr>
        <w:tc>
          <w:tcPr>
            <w:tcW w:w="4920" w:type="dxa"/>
            <w:vAlign w:val="bottom"/>
          </w:tcPr>
          <w:p w14:paraId="7B88206F" w14:textId="77777777" w:rsidR="00DC74FE" w:rsidRDefault="001E4384">
            <w:pPr>
              <w:rPr>
                <w:sz w:val="20"/>
                <w:szCs w:val="20"/>
              </w:rPr>
            </w:pPr>
            <w:r>
              <w:rPr>
                <w:rFonts w:ascii="Arial" w:eastAsia="Arial" w:hAnsi="Arial" w:cs="Arial"/>
                <w:b/>
                <w:bCs/>
                <w:color w:val="231F20"/>
                <w:sz w:val="16"/>
                <w:szCs w:val="16"/>
              </w:rPr>
              <w:t>Rendimiento medio anual</w:t>
            </w:r>
          </w:p>
        </w:tc>
        <w:tc>
          <w:tcPr>
            <w:tcW w:w="3820" w:type="dxa"/>
            <w:vAlign w:val="bottom"/>
          </w:tcPr>
          <w:p w14:paraId="4BB8514D" w14:textId="77777777" w:rsidR="00DC74FE" w:rsidRDefault="001E4384">
            <w:pPr>
              <w:ind w:right="940"/>
              <w:jc w:val="right"/>
              <w:rPr>
                <w:sz w:val="20"/>
                <w:szCs w:val="20"/>
              </w:rPr>
            </w:pPr>
            <w:r>
              <w:rPr>
                <w:rFonts w:ascii="Arial" w:eastAsia="Arial" w:hAnsi="Arial" w:cs="Arial"/>
                <w:color w:val="231F20"/>
                <w:sz w:val="16"/>
                <w:szCs w:val="16"/>
              </w:rPr>
              <w:t>-18,60%</w:t>
            </w:r>
          </w:p>
        </w:tc>
        <w:tc>
          <w:tcPr>
            <w:tcW w:w="820" w:type="dxa"/>
            <w:vAlign w:val="bottom"/>
          </w:tcPr>
          <w:p w14:paraId="6103F290" w14:textId="77777777" w:rsidR="00DC74FE" w:rsidRDefault="001E4384">
            <w:pPr>
              <w:jc w:val="right"/>
              <w:rPr>
                <w:sz w:val="20"/>
                <w:szCs w:val="20"/>
              </w:rPr>
            </w:pPr>
            <w:r>
              <w:rPr>
                <w:rFonts w:ascii="Arial" w:eastAsia="Arial" w:hAnsi="Arial" w:cs="Arial"/>
                <w:color w:val="231F20"/>
                <w:sz w:val="16"/>
                <w:szCs w:val="16"/>
              </w:rPr>
              <w:t>-2,90%</w:t>
            </w:r>
          </w:p>
        </w:tc>
      </w:tr>
      <w:tr w:rsidR="00DC74FE" w14:paraId="1EA0AC7C" w14:textId="77777777">
        <w:trPr>
          <w:trHeight w:val="307"/>
        </w:trPr>
        <w:tc>
          <w:tcPr>
            <w:tcW w:w="4920" w:type="dxa"/>
            <w:vAlign w:val="bottom"/>
          </w:tcPr>
          <w:p w14:paraId="1F8214C7" w14:textId="77777777" w:rsidR="00DC74FE" w:rsidRDefault="001E4384">
            <w:pPr>
              <w:rPr>
                <w:sz w:val="20"/>
                <w:szCs w:val="20"/>
              </w:rPr>
            </w:pPr>
            <w:r>
              <w:rPr>
                <w:rFonts w:ascii="Arial" w:eastAsia="Arial" w:hAnsi="Arial" w:cs="Arial"/>
                <w:b/>
                <w:bCs/>
                <w:color w:val="231F20"/>
                <w:sz w:val="16"/>
                <w:szCs w:val="16"/>
              </w:rPr>
              <w:t>Lo que podría recuperar después de los costos</w:t>
            </w:r>
          </w:p>
        </w:tc>
        <w:tc>
          <w:tcPr>
            <w:tcW w:w="3820" w:type="dxa"/>
            <w:vAlign w:val="bottom"/>
          </w:tcPr>
          <w:p w14:paraId="14917C58" w14:textId="77777777" w:rsidR="00DC74FE" w:rsidRDefault="001E4384">
            <w:pPr>
              <w:ind w:right="940"/>
              <w:jc w:val="right"/>
              <w:rPr>
                <w:sz w:val="20"/>
                <w:szCs w:val="20"/>
              </w:rPr>
            </w:pPr>
            <w:r>
              <w:rPr>
                <w:rFonts w:ascii="Arial" w:eastAsia="Arial" w:hAnsi="Arial" w:cs="Arial"/>
                <w:color w:val="231F20"/>
                <w:sz w:val="16"/>
                <w:szCs w:val="16"/>
              </w:rPr>
              <w:t>11.360 $</w:t>
            </w:r>
          </w:p>
        </w:tc>
        <w:tc>
          <w:tcPr>
            <w:tcW w:w="820" w:type="dxa"/>
            <w:vAlign w:val="bottom"/>
          </w:tcPr>
          <w:p w14:paraId="64BFCA01" w14:textId="77777777" w:rsidR="00DC74FE" w:rsidRDefault="001E4384">
            <w:pPr>
              <w:jc w:val="right"/>
              <w:rPr>
                <w:sz w:val="20"/>
                <w:szCs w:val="20"/>
              </w:rPr>
            </w:pPr>
            <w:r>
              <w:rPr>
                <w:rFonts w:ascii="Arial" w:eastAsia="Arial" w:hAnsi="Arial" w:cs="Arial"/>
                <w:color w:val="231F20"/>
                <w:sz w:val="16"/>
                <w:szCs w:val="16"/>
              </w:rPr>
              <w:t>17.760 $</w:t>
            </w:r>
          </w:p>
        </w:tc>
      </w:tr>
      <w:tr w:rsidR="00DC74FE" w14:paraId="61A0CD58" w14:textId="77777777">
        <w:trPr>
          <w:trHeight w:val="307"/>
        </w:trPr>
        <w:tc>
          <w:tcPr>
            <w:tcW w:w="4920" w:type="dxa"/>
            <w:vAlign w:val="bottom"/>
          </w:tcPr>
          <w:p w14:paraId="4C77329F" w14:textId="77777777" w:rsidR="00DC74FE" w:rsidRDefault="001E4384">
            <w:pPr>
              <w:rPr>
                <w:sz w:val="20"/>
                <w:szCs w:val="20"/>
              </w:rPr>
            </w:pPr>
            <w:r>
              <w:rPr>
                <w:rFonts w:ascii="Arial" w:eastAsia="Arial" w:hAnsi="Arial" w:cs="Arial"/>
                <w:b/>
                <w:bCs/>
                <w:color w:val="231F20"/>
                <w:sz w:val="16"/>
                <w:szCs w:val="16"/>
              </w:rPr>
              <w:t>Rendimiento medio anual</w:t>
            </w:r>
          </w:p>
        </w:tc>
        <w:tc>
          <w:tcPr>
            <w:tcW w:w="3820" w:type="dxa"/>
            <w:vAlign w:val="bottom"/>
          </w:tcPr>
          <w:p w14:paraId="5961BDD6" w14:textId="77777777" w:rsidR="00DC74FE" w:rsidRDefault="001E4384">
            <w:pPr>
              <w:ind w:right="940"/>
              <w:jc w:val="right"/>
              <w:rPr>
                <w:sz w:val="20"/>
                <w:szCs w:val="20"/>
              </w:rPr>
            </w:pPr>
            <w:r>
              <w:rPr>
                <w:rFonts w:ascii="Arial" w:eastAsia="Arial" w:hAnsi="Arial" w:cs="Arial"/>
                <w:color w:val="231F20"/>
                <w:sz w:val="16"/>
                <w:szCs w:val="16"/>
              </w:rPr>
              <w:t>13,60 %</w:t>
            </w:r>
          </w:p>
        </w:tc>
        <w:tc>
          <w:tcPr>
            <w:tcW w:w="820" w:type="dxa"/>
            <w:vAlign w:val="bottom"/>
          </w:tcPr>
          <w:p w14:paraId="42712279" w14:textId="77777777" w:rsidR="00DC74FE" w:rsidRDefault="001E4384">
            <w:pPr>
              <w:jc w:val="right"/>
              <w:rPr>
                <w:sz w:val="20"/>
                <w:szCs w:val="20"/>
              </w:rPr>
            </w:pPr>
            <w:r>
              <w:rPr>
                <w:rFonts w:ascii="Arial" w:eastAsia="Arial" w:hAnsi="Arial" w:cs="Arial"/>
                <w:color w:val="231F20"/>
                <w:sz w:val="16"/>
                <w:szCs w:val="16"/>
              </w:rPr>
              <w:t>12,17 %</w:t>
            </w:r>
          </w:p>
        </w:tc>
      </w:tr>
      <w:tr w:rsidR="00DC74FE" w14:paraId="20B6142D" w14:textId="77777777">
        <w:trPr>
          <w:trHeight w:val="307"/>
        </w:trPr>
        <w:tc>
          <w:tcPr>
            <w:tcW w:w="4920" w:type="dxa"/>
            <w:vAlign w:val="bottom"/>
          </w:tcPr>
          <w:p w14:paraId="3428CA8F" w14:textId="77777777" w:rsidR="00DC74FE" w:rsidRDefault="001E4384">
            <w:pPr>
              <w:rPr>
                <w:sz w:val="20"/>
                <w:szCs w:val="20"/>
              </w:rPr>
            </w:pPr>
            <w:r>
              <w:rPr>
                <w:rFonts w:ascii="Arial" w:eastAsia="Arial" w:hAnsi="Arial" w:cs="Arial"/>
                <w:b/>
                <w:bCs/>
                <w:color w:val="231F20"/>
                <w:sz w:val="16"/>
                <w:szCs w:val="16"/>
              </w:rPr>
              <w:t>Lo que podría recuperar después de los costos</w:t>
            </w:r>
          </w:p>
        </w:tc>
        <w:tc>
          <w:tcPr>
            <w:tcW w:w="3820" w:type="dxa"/>
            <w:vAlign w:val="bottom"/>
          </w:tcPr>
          <w:p w14:paraId="7E6CD8EF" w14:textId="77777777" w:rsidR="00DC74FE" w:rsidRDefault="001E4384">
            <w:pPr>
              <w:ind w:right="940"/>
              <w:jc w:val="right"/>
              <w:rPr>
                <w:sz w:val="20"/>
                <w:szCs w:val="20"/>
              </w:rPr>
            </w:pPr>
            <w:r>
              <w:rPr>
                <w:rFonts w:ascii="Arial" w:eastAsia="Arial" w:hAnsi="Arial" w:cs="Arial"/>
                <w:color w:val="231F20"/>
                <w:sz w:val="16"/>
                <w:szCs w:val="16"/>
              </w:rPr>
              <w:t>15.590 $</w:t>
            </w:r>
          </w:p>
        </w:tc>
        <w:tc>
          <w:tcPr>
            <w:tcW w:w="820" w:type="dxa"/>
            <w:vAlign w:val="bottom"/>
          </w:tcPr>
          <w:p w14:paraId="08DFF229" w14:textId="77777777" w:rsidR="00DC74FE" w:rsidRDefault="001E4384">
            <w:pPr>
              <w:jc w:val="right"/>
              <w:rPr>
                <w:sz w:val="20"/>
                <w:szCs w:val="20"/>
              </w:rPr>
            </w:pPr>
            <w:r>
              <w:rPr>
                <w:rFonts w:ascii="Arial" w:eastAsia="Arial" w:hAnsi="Arial" w:cs="Arial"/>
                <w:color w:val="231F20"/>
                <w:sz w:val="16"/>
                <w:szCs w:val="16"/>
              </w:rPr>
              <w:t>23.210 $</w:t>
            </w:r>
          </w:p>
        </w:tc>
      </w:tr>
      <w:tr w:rsidR="00DC74FE" w14:paraId="38AC2584" w14:textId="77777777">
        <w:trPr>
          <w:trHeight w:val="307"/>
        </w:trPr>
        <w:tc>
          <w:tcPr>
            <w:tcW w:w="4920" w:type="dxa"/>
            <w:vAlign w:val="bottom"/>
          </w:tcPr>
          <w:p w14:paraId="6F9DA6CE" w14:textId="77777777" w:rsidR="00DC74FE" w:rsidRDefault="001E4384">
            <w:pPr>
              <w:rPr>
                <w:sz w:val="20"/>
                <w:szCs w:val="20"/>
              </w:rPr>
            </w:pPr>
            <w:r>
              <w:rPr>
                <w:rFonts w:ascii="Arial" w:eastAsia="Arial" w:hAnsi="Arial" w:cs="Arial"/>
                <w:b/>
                <w:bCs/>
                <w:color w:val="231F20"/>
                <w:sz w:val="16"/>
                <w:szCs w:val="16"/>
              </w:rPr>
              <w:t>Rendimiento medio anual</w:t>
            </w:r>
          </w:p>
        </w:tc>
        <w:tc>
          <w:tcPr>
            <w:tcW w:w="3820" w:type="dxa"/>
            <w:vAlign w:val="bottom"/>
          </w:tcPr>
          <w:p w14:paraId="0EBC2BE8" w14:textId="77777777" w:rsidR="00DC74FE" w:rsidRDefault="001E4384">
            <w:pPr>
              <w:ind w:right="940"/>
              <w:jc w:val="right"/>
              <w:rPr>
                <w:sz w:val="20"/>
                <w:szCs w:val="20"/>
              </w:rPr>
            </w:pPr>
            <w:r>
              <w:rPr>
                <w:rFonts w:ascii="Arial" w:eastAsia="Arial" w:hAnsi="Arial" w:cs="Arial"/>
                <w:color w:val="231F20"/>
                <w:sz w:val="16"/>
                <w:szCs w:val="16"/>
              </w:rPr>
              <w:t>55,90%</w:t>
            </w:r>
          </w:p>
        </w:tc>
        <w:tc>
          <w:tcPr>
            <w:tcW w:w="820" w:type="dxa"/>
            <w:vAlign w:val="bottom"/>
          </w:tcPr>
          <w:p w14:paraId="538DE792" w14:textId="77777777" w:rsidR="00DC74FE" w:rsidRDefault="001E4384">
            <w:pPr>
              <w:jc w:val="right"/>
              <w:rPr>
                <w:sz w:val="20"/>
                <w:szCs w:val="20"/>
              </w:rPr>
            </w:pPr>
            <w:r>
              <w:rPr>
                <w:rFonts w:ascii="Arial" w:eastAsia="Arial" w:hAnsi="Arial" w:cs="Arial"/>
                <w:color w:val="231F20"/>
                <w:sz w:val="16"/>
                <w:szCs w:val="16"/>
              </w:rPr>
              <w:t>18,34 %</w:t>
            </w:r>
          </w:p>
        </w:tc>
      </w:tr>
    </w:tbl>
    <w:p w14:paraId="5B08B5D1" w14:textId="77777777" w:rsidR="00DC74FE" w:rsidRDefault="00DC74FE">
      <w:pPr>
        <w:spacing w:line="164" w:lineRule="exact"/>
        <w:rPr>
          <w:sz w:val="20"/>
          <w:szCs w:val="20"/>
        </w:rPr>
      </w:pPr>
    </w:p>
    <w:p w14:paraId="16DEB4AB" w14:textId="77777777" w:rsidR="00DC74FE" w:rsidRDefault="00DC74FE">
      <w:pPr>
        <w:sectPr w:rsidR="00DC74FE">
          <w:type w:val="continuous"/>
          <w:pgSz w:w="11900" w:h="16838"/>
          <w:pgMar w:top="606" w:right="406" w:bottom="1440" w:left="397" w:header="0" w:footer="0" w:gutter="0"/>
          <w:cols w:num="2" w:space="720" w:equalWidth="0">
            <w:col w:w="1083" w:space="380"/>
            <w:col w:w="9640"/>
          </w:cols>
        </w:sectPr>
      </w:pPr>
    </w:p>
    <w:p w14:paraId="15E33BE9" w14:textId="77777777" w:rsidR="00DC74FE" w:rsidRDefault="001E4384">
      <w:pPr>
        <w:spacing w:line="226" w:lineRule="auto"/>
        <w:ind w:left="3"/>
        <w:jc w:val="both"/>
        <w:rPr>
          <w:sz w:val="20"/>
          <w:szCs w:val="20"/>
        </w:rPr>
      </w:pPr>
      <w:r>
        <w:rPr>
          <w:rFonts w:ascii="Arial" w:eastAsia="Arial" w:hAnsi="Arial" w:cs="Arial"/>
          <w:color w:val="231F20"/>
          <w:sz w:val="16"/>
          <w:szCs w:val="16"/>
        </w:rPr>
        <w:t>Las cifras que se muestran incluyen todos los costos del Fondo en sí, pero pueden no incluir todos los costos que usted p</w:t>
      </w:r>
      <w:r>
        <w:rPr>
          <w:rFonts w:ascii="Arial" w:eastAsia="Arial" w:hAnsi="Arial" w:cs="Arial"/>
          <w:color w:val="231F20"/>
          <w:sz w:val="16"/>
          <w:szCs w:val="16"/>
        </w:rPr>
        <w:t>aga a su asesor o distribuidor. Las cifras no tienen en cuenta su situación fiscal personal, lo que también puede afectar la cantidad que recibe.</w:t>
      </w:r>
    </w:p>
    <w:p w14:paraId="0AD9C6F4" w14:textId="77777777" w:rsidR="00DC74FE" w:rsidRDefault="00DC74FE">
      <w:pPr>
        <w:spacing w:line="21" w:lineRule="exact"/>
        <w:rPr>
          <w:sz w:val="20"/>
          <w:szCs w:val="20"/>
        </w:rPr>
      </w:pPr>
    </w:p>
    <w:p w14:paraId="7C8E27FC" w14:textId="77777777" w:rsidR="00DC74FE" w:rsidRDefault="001E4384">
      <w:pPr>
        <w:spacing w:line="248" w:lineRule="auto"/>
        <w:ind w:left="3"/>
        <w:jc w:val="both"/>
        <w:rPr>
          <w:sz w:val="20"/>
          <w:szCs w:val="20"/>
        </w:rPr>
      </w:pPr>
      <w:r>
        <w:rPr>
          <w:rFonts w:ascii="Arial" w:eastAsia="Arial" w:hAnsi="Arial" w:cs="Arial"/>
          <w:color w:val="231F20"/>
          <w:sz w:val="16"/>
          <w:szCs w:val="16"/>
        </w:rPr>
        <w:t>El escenario de estrés muestra lo que podría obtener en circunstancias de mercado extremas.</w:t>
      </w:r>
    </w:p>
    <w:p w14:paraId="4B1F511A" w14:textId="77777777" w:rsidR="00DC74FE" w:rsidRDefault="00DC74FE">
      <w:pPr>
        <w:spacing w:line="13" w:lineRule="exact"/>
        <w:rPr>
          <w:sz w:val="20"/>
          <w:szCs w:val="20"/>
        </w:rPr>
      </w:pPr>
    </w:p>
    <w:p w14:paraId="061031DC" w14:textId="77777777" w:rsidR="00DC74FE" w:rsidRDefault="001E4384">
      <w:pPr>
        <w:ind w:left="3"/>
        <w:rPr>
          <w:sz w:val="20"/>
          <w:szCs w:val="20"/>
        </w:rPr>
      </w:pPr>
      <w:r>
        <w:rPr>
          <w:rFonts w:ascii="Arial" w:eastAsia="Arial" w:hAnsi="Arial" w:cs="Arial"/>
          <w:color w:val="231F20"/>
          <w:sz w:val="16"/>
          <w:szCs w:val="16"/>
        </w:rPr>
        <w:t>Este Fondo no se puede canjear fácilmente.</w:t>
      </w:r>
    </w:p>
    <w:p w14:paraId="0063E6AE" w14:textId="77777777" w:rsidR="00DC74FE" w:rsidRDefault="001E4384">
      <w:pPr>
        <w:spacing w:line="20" w:lineRule="exact"/>
        <w:rPr>
          <w:sz w:val="20"/>
          <w:szCs w:val="20"/>
        </w:rPr>
      </w:pPr>
      <w:r>
        <w:rPr>
          <w:noProof/>
          <w:sz w:val="20"/>
          <w:szCs w:val="20"/>
        </w:rPr>
        <w:drawing>
          <wp:anchor distT="0" distB="0" distL="114300" distR="114300" simplePos="0" relativeHeight="251659776" behindDoc="1" locked="0" layoutInCell="0" allowOverlap="1" wp14:anchorId="253AD83C" wp14:editId="07777777">
            <wp:simplePos x="0" y="0"/>
            <wp:positionH relativeFrom="column">
              <wp:posOffset>-18415</wp:posOffset>
            </wp:positionH>
            <wp:positionV relativeFrom="paragraph">
              <wp:posOffset>-4445</wp:posOffset>
            </wp:positionV>
            <wp:extent cx="7094220" cy="444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65F9C3DC" w14:textId="77777777" w:rsidR="00DC74FE" w:rsidRDefault="001E4384">
      <w:pPr>
        <w:spacing w:line="20" w:lineRule="exact"/>
        <w:rPr>
          <w:sz w:val="20"/>
          <w:szCs w:val="20"/>
        </w:rPr>
      </w:pPr>
      <w:r>
        <w:rPr>
          <w:sz w:val="20"/>
          <w:szCs w:val="20"/>
        </w:rPr>
        <w:br w:type="column"/>
      </w:r>
    </w:p>
    <w:p w14:paraId="70D09CF3" w14:textId="77777777" w:rsidR="00DC74FE" w:rsidRDefault="001E4384">
      <w:pPr>
        <w:spacing w:line="248" w:lineRule="auto"/>
        <w:rPr>
          <w:sz w:val="20"/>
          <w:szCs w:val="20"/>
        </w:rPr>
      </w:pPr>
      <w:r>
        <w:rPr>
          <w:rFonts w:ascii="Arial" w:eastAsia="Arial" w:hAnsi="Arial" w:cs="Arial"/>
          <w:color w:val="231F20"/>
          <w:sz w:val="16"/>
          <w:szCs w:val="16"/>
        </w:rPr>
        <w:t>Escenario Desfavorable: Este tipo de escenario ocurrió para el Índice entre 2021 - 2023.</w:t>
      </w:r>
    </w:p>
    <w:p w14:paraId="5023141B" w14:textId="77777777" w:rsidR="00DC74FE" w:rsidRDefault="00DC74FE">
      <w:pPr>
        <w:spacing w:line="14" w:lineRule="exact"/>
        <w:rPr>
          <w:sz w:val="20"/>
          <w:szCs w:val="20"/>
        </w:rPr>
      </w:pPr>
    </w:p>
    <w:p w14:paraId="360F4F90" w14:textId="77777777" w:rsidR="00DC74FE" w:rsidRDefault="001E4384">
      <w:pPr>
        <w:spacing w:line="248" w:lineRule="auto"/>
        <w:rPr>
          <w:sz w:val="20"/>
          <w:szCs w:val="20"/>
        </w:rPr>
      </w:pPr>
      <w:r>
        <w:rPr>
          <w:rFonts w:ascii="Arial" w:eastAsia="Arial" w:hAnsi="Arial" w:cs="Arial"/>
          <w:color w:val="231F20"/>
          <w:sz w:val="16"/>
          <w:szCs w:val="16"/>
        </w:rPr>
        <w:t>Escenario Moderado: Este tipo de escenario ocurrió para el Índice entre 2013 - 2018.</w:t>
      </w:r>
    </w:p>
    <w:p w14:paraId="1F3B1409" w14:textId="77777777" w:rsidR="00DC74FE" w:rsidRDefault="00DC74FE">
      <w:pPr>
        <w:spacing w:line="13" w:lineRule="exact"/>
        <w:rPr>
          <w:sz w:val="20"/>
          <w:szCs w:val="20"/>
        </w:rPr>
      </w:pPr>
    </w:p>
    <w:p w14:paraId="6893F55C" w14:textId="77777777" w:rsidR="00DC74FE" w:rsidRDefault="001E4384">
      <w:pPr>
        <w:spacing w:line="248" w:lineRule="auto"/>
        <w:rPr>
          <w:sz w:val="20"/>
          <w:szCs w:val="20"/>
        </w:rPr>
      </w:pPr>
      <w:r>
        <w:rPr>
          <w:rFonts w:ascii="Arial" w:eastAsia="Arial" w:hAnsi="Arial" w:cs="Arial"/>
          <w:color w:val="231F20"/>
          <w:sz w:val="16"/>
          <w:szCs w:val="16"/>
        </w:rPr>
        <w:t>Escenario favorable: Este tipo de escenario se produjo para el Índice entre 2016 - 2021.</w:t>
      </w:r>
    </w:p>
    <w:p w14:paraId="562C75D1" w14:textId="77777777" w:rsidR="00DC74FE" w:rsidRDefault="00DC74FE">
      <w:pPr>
        <w:spacing w:line="196" w:lineRule="exact"/>
        <w:rPr>
          <w:sz w:val="20"/>
          <w:szCs w:val="20"/>
        </w:rPr>
      </w:pPr>
    </w:p>
    <w:p w14:paraId="664355AD" w14:textId="77777777" w:rsidR="00DC74FE" w:rsidRDefault="00DC74FE">
      <w:pPr>
        <w:sectPr w:rsidR="00DC74FE">
          <w:type w:val="continuous"/>
          <w:pgSz w:w="11900" w:h="16838"/>
          <w:pgMar w:top="606" w:right="406" w:bottom="1440" w:left="397" w:header="0" w:footer="0" w:gutter="0"/>
          <w:cols w:num="2" w:space="720" w:equalWidth="0">
            <w:col w:w="5423" w:space="260"/>
            <w:col w:w="5420"/>
          </w:cols>
        </w:sectPr>
      </w:pPr>
    </w:p>
    <w:p w14:paraId="492EC9B5" w14:textId="77777777" w:rsidR="00DC74FE" w:rsidRDefault="001E4384">
      <w:pPr>
        <w:ind w:left="3"/>
        <w:rPr>
          <w:sz w:val="20"/>
          <w:szCs w:val="20"/>
        </w:rPr>
      </w:pPr>
      <w:r>
        <w:rPr>
          <w:rFonts w:ascii="Arial" w:eastAsia="Arial" w:hAnsi="Arial" w:cs="Arial"/>
          <w:color w:val="231F20"/>
          <w:sz w:val="24"/>
          <w:szCs w:val="24"/>
        </w:rPr>
        <w:t>¿Qué sucede si VGIL no puede pagar?</w:t>
      </w:r>
    </w:p>
    <w:p w14:paraId="1A965116" w14:textId="77777777" w:rsidR="00DC74FE" w:rsidRDefault="00DC74FE">
      <w:pPr>
        <w:spacing w:line="112" w:lineRule="exact"/>
        <w:rPr>
          <w:sz w:val="20"/>
          <w:szCs w:val="20"/>
        </w:rPr>
      </w:pPr>
    </w:p>
    <w:p w14:paraId="29BE0D86" w14:textId="77777777" w:rsidR="00DC74FE" w:rsidRDefault="001E4384">
      <w:pPr>
        <w:spacing w:line="222" w:lineRule="auto"/>
        <w:ind w:left="3"/>
        <w:jc w:val="both"/>
        <w:rPr>
          <w:sz w:val="20"/>
          <w:szCs w:val="20"/>
        </w:rPr>
      </w:pPr>
      <w:r>
        <w:rPr>
          <w:rFonts w:ascii="Arial" w:eastAsia="Arial" w:hAnsi="Arial" w:cs="Arial"/>
          <w:color w:val="231F20"/>
          <w:sz w:val="16"/>
          <w:szCs w:val="16"/>
        </w:rPr>
        <w:t>Los activos de</w:t>
      </w:r>
      <w:r>
        <w:rPr>
          <w:rFonts w:ascii="Arial" w:eastAsia="Arial" w:hAnsi="Arial" w:cs="Arial"/>
          <w:color w:val="231F20"/>
          <w:sz w:val="16"/>
          <w:szCs w:val="16"/>
        </w:rPr>
        <w:t xml:space="preserve"> la Caja son custodiados por su depositario. En caso de insolvencia de la VGIL, los activos de la Caja en custodia del depositario no se verán afectados. Sin embargo, en caso de insolvencia del depositario, o de que alguien actúe en su nombre, la Caja pued</w:t>
      </w:r>
      <w:r>
        <w:rPr>
          <w:rFonts w:ascii="Arial" w:eastAsia="Arial" w:hAnsi="Arial" w:cs="Arial"/>
          <w:color w:val="231F20"/>
          <w:sz w:val="16"/>
          <w:szCs w:val="16"/>
        </w:rPr>
        <w:t>e sufrir una pérdida financiera. Este riesgo se ve mitigado en cierta medida por el hecho de que la ley y la reglamentación exigen al depositario que separe sus propios activos de los activos de la Caja. El depositario también será responsable ante el Fond</w:t>
      </w:r>
      <w:r>
        <w:rPr>
          <w:rFonts w:ascii="Arial" w:eastAsia="Arial" w:hAnsi="Arial" w:cs="Arial"/>
          <w:color w:val="231F20"/>
          <w:sz w:val="16"/>
          <w:szCs w:val="16"/>
        </w:rPr>
        <w:t>o y los inversores de cualquier pérdida derivada, entre otras cosas, de su negligencia, fraude o incumplimiento intencional de sus obligaciones (con sujeción a ciertas limitaciones).</w:t>
      </w:r>
    </w:p>
    <w:p w14:paraId="7DF4E37C" w14:textId="77777777" w:rsidR="00DC74FE" w:rsidRDefault="00DC74FE">
      <w:pPr>
        <w:spacing w:line="23" w:lineRule="exact"/>
        <w:rPr>
          <w:sz w:val="20"/>
          <w:szCs w:val="20"/>
        </w:rPr>
      </w:pPr>
    </w:p>
    <w:p w14:paraId="6BA28614" w14:textId="77777777" w:rsidR="00DC74FE" w:rsidRDefault="001E4384">
      <w:pPr>
        <w:ind w:left="3"/>
        <w:rPr>
          <w:sz w:val="20"/>
          <w:szCs w:val="20"/>
        </w:rPr>
      </w:pPr>
      <w:r>
        <w:rPr>
          <w:rFonts w:ascii="Arial" w:eastAsia="Arial" w:hAnsi="Arial" w:cs="Arial"/>
          <w:color w:val="231F20"/>
          <w:sz w:val="16"/>
          <w:szCs w:val="16"/>
        </w:rPr>
        <w:t>No existe ningún esquema de compensación o garantía que lo proteja de un</w:t>
      </w:r>
      <w:r>
        <w:rPr>
          <w:rFonts w:ascii="Arial" w:eastAsia="Arial" w:hAnsi="Arial" w:cs="Arial"/>
          <w:color w:val="231F20"/>
          <w:sz w:val="16"/>
          <w:szCs w:val="16"/>
        </w:rPr>
        <w:t xml:space="preserve"> incumplimiento del depositario del Fondo.</w:t>
      </w:r>
    </w:p>
    <w:p w14:paraId="1B094E8D" w14:textId="77777777" w:rsidR="00DC74FE" w:rsidRDefault="001E4384">
      <w:pPr>
        <w:spacing w:line="20" w:lineRule="exact"/>
        <w:rPr>
          <w:sz w:val="20"/>
          <w:szCs w:val="20"/>
        </w:rPr>
      </w:pPr>
      <w:r>
        <w:rPr>
          <w:noProof/>
          <w:sz w:val="20"/>
          <w:szCs w:val="20"/>
        </w:rPr>
        <w:drawing>
          <wp:anchor distT="0" distB="0" distL="114300" distR="114300" simplePos="0" relativeHeight="251660800" behindDoc="1" locked="0" layoutInCell="0" allowOverlap="1" wp14:anchorId="7224F5F2" wp14:editId="07777777">
            <wp:simplePos x="0" y="0"/>
            <wp:positionH relativeFrom="column">
              <wp:posOffset>-18415</wp:posOffset>
            </wp:positionH>
            <wp:positionV relativeFrom="paragraph">
              <wp:posOffset>-4445</wp:posOffset>
            </wp:positionV>
            <wp:extent cx="7094220" cy="444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44FB30F8" w14:textId="77777777" w:rsidR="00DC74FE" w:rsidRDefault="00DC74FE">
      <w:pPr>
        <w:spacing w:line="52" w:lineRule="exact"/>
        <w:rPr>
          <w:sz w:val="20"/>
          <w:szCs w:val="20"/>
        </w:rPr>
      </w:pPr>
    </w:p>
    <w:p w14:paraId="29516257" w14:textId="77777777" w:rsidR="00DC74FE" w:rsidRDefault="001E4384">
      <w:pPr>
        <w:ind w:left="3"/>
        <w:rPr>
          <w:sz w:val="20"/>
          <w:szCs w:val="20"/>
        </w:rPr>
      </w:pPr>
      <w:r>
        <w:rPr>
          <w:rFonts w:ascii="Arial" w:eastAsia="Arial" w:hAnsi="Arial" w:cs="Arial"/>
          <w:color w:val="231F20"/>
          <w:sz w:val="24"/>
          <w:szCs w:val="24"/>
        </w:rPr>
        <w:t>¿Cuáles son los costos?</w:t>
      </w:r>
    </w:p>
    <w:p w14:paraId="1DA6542E" w14:textId="77777777" w:rsidR="00DC74FE" w:rsidRDefault="00DC74FE">
      <w:pPr>
        <w:spacing w:line="112" w:lineRule="exact"/>
        <w:rPr>
          <w:sz w:val="20"/>
          <w:szCs w:val="20"/>
        </w:rPr>
      </w:pPr>
    </w:p>
    <w:p w14:paraId="0C588BD8" w14:textId="77777777" w:rsidR="00DC74FE" w:rsidRDefault="001E4384">
      <w:pPr>
        <w:spacing w:line="248" w:lineRule="auto"/>
        <w:ind w:left="3"/>
        <w:jc w:val="both"/>
        <w:rPr>
          <w:sz w:val="20"/>
          <w:szCs w:val="20"/>
        </w:rPr>
      </w:pPr>
      <w:r>
        <w:rPr>
          <w:rFonts w:ascii="Arial" w:eastAsia="Arial" w:hAnsi="Arial" w:cs="Arial"/>
          <w:color w:val="231F20"/>
          <w:sz w:val="16"/>
          <w:szCs w:val="16"/>
        </w:rPr>
        <w:t>La persona que le asesore o le venda el Fondo puede cobrarle otros costos. Si es así, esta persona le proporcionará información sobre estos costos y cómo afectan su inversión.</w:t>
      </w:r>
    </w:p>
    <w:p w14:paraId="3041E394" w14:textId="77777777" w:rsidR="00DC74FE" w:rsidRDefault="00DC74FE">
      <w:pPr>
        <w:spacing w:line="19" w:lineRule="exact"/>
        <w:rPr>
          <w:sz w:val="20"/>
          <w:szCs w:val="20"/>
        </w:rPr>
      </w:pPr>
    </w:p>
    <w:p w14:paraId="5CC4F474" w14:textId="77777777" w:rsidR="00DC74FE" w:rsidRDefault="001E4384">
      <w:pPr>
        <w:ind w:left="3"/>
        <w:rPr>
          <w:sz w:val="20"/>
          <w:szCs w:val="20"/>
        </w:rPr>
      </w:pPr>
      <w:r>
        <w:rPr>
          <w:rFonts w:ascii="Arial" w:eastAsia="Arial" w:hAnsi="Arial" w:cs="Arial"/>
          <w:b/>
          <w:bCs/>
          <w:color w:val="231F20"/>
          <w:sz w:val="18"/>
          <w:szCs w:val="18"/>
        </w:rPr>
        <w:t>Costes a lo largo del tiempo</w:t>
      </w:r>
    </w:p>
    <w:p w14:paraId="722B00AE" w14:textId="77777777" w:rsidR="00DC74FE" w:rsidRDefault="00DC74FE">
      <w:pPr>
        <w:spacing w:line="68" w:lineRule="exact"/>
        <w:rPr>
          <w:sz w:val="20"/>
          <w:szCs w:val="20"/>
        </w:rPr>
      </w:pPr>
    </w:p>
    <w:p w14:paraId="0A0E169E" w14:textId="77777777" w:rsidR="00DC74FE" w:rsidRDefault="001E4384">
      <w:pPr>
        <w:spacing w:line="232" w:lineRule="auto"/>
        <w:ind w:left="3"/>
        <w:jc w:val="both"/>
        <w:rPr>
          <w:sz w:val="20"/>
          <w:szCs w:val="20"/>
        </w:rPr>
      </w:pPr>
      <w:r>
        <w:rPr>
          <w:rFonts w:ascii="Arial" w:eastAsia="Arial" w:hAnsi="Arial" w:cs="Arial"/>
          <w:color w:val="231F20"/>
          <w:sz w:val="16"/>
          <w:szCs w:val="16"/>
        </w:rPr>
        <w:t>Las tablas muestran los importes que se toman de su inversión para cubrir diferentes tipos de costes. Estas cantidades dependen de cuánto invierta, cuánto tiempo invierta en el Fondo y qué tan bien lo haga el Fondo. Los import</w:t>
      </w:r>
      <w:r>
        <w:rPr>
          <w:rFonts w:ascii="Arial" w:eastAsia="Arial" w:hAnsi="Arial" w:cs="Arial"/>
          <w:color w:val="231F20"/>
          <w:sz w:val="16"/>
          <w:szCs w:val="16"/>
        </w:rPr>
        <w:t>es que se muestran aquí son ilustraciones basadas en un ejemplo de importe de inversión y diferentes períodos de inversión posibles.</w:t>
      </w:r>
    </w:p>
    <w:p w14:paraId="42C6D796" w14:textId="77777777" w:rsidR="00DC74FE" w:rsidRDefault="00DC74FE">
      <w:pPr>
        <w:spacing w:line="20" w:lineRule="exact"/>
        <w:rPr>
          <w:sz w:val="20"/>
          <w:szCs w:val="20"/>
        </w:rPr>
      </w:pPr>
    </w:p>
    <w:p w14:paraId="0B2CC624" w14:textId="77777777" w:rsidR="00DC74FE" w:rsidRDefault="001E4384">
      <w:pPr>
        <w:ind w:left="3"/>
        <w:rPr>
          <w:sz w:val="20"/>
          <w:szCs w:val="20"/>
        </w:rPr>
      </w:pPr>
      <w:r>
        <w:rPr>
          <w:rFonts w:ascii="Arial" w:eastAsia="Arial" w:hAnsi="Arial" w:cs="Arial"/>
          <w:color w:val="231F20"/>
          <w:sz w:val="16"/>
          <w:szCs w:val="16"/>
        </w:rPr>
        <w:t>Hemos asumido:</w:t>
      </w:r>
    </w:p>
    <w:p w14:paraId="6E1831B3" w14:textId="77777777" w:rsidR="00DC74FE" w:rsidRDefault="00DC74FE">
      <w:pPr>
        <w:spacing w:line="31" w:lineRule="exact"/>
        <w:rPr>
          <w:sz w:val="20"/>
          <w:szCs w:val="20"/>
        </w:rPr>
      </w:pPr>
    </w:p>
    <w:p w14:paraId="72FBBB33" w14:textId="77777777" w:rsidR="00DC74FE" w:rsidRDefault="001E4384">
      <w:pPr>
        <w:numPr>
          <w:ilvl w:val="0"/>
          <w:numId w:val="2"/>
        </w:numPr>
        <w:tabs>
          <w:tab w:val="left" w:pos="103"/>
        </w:tabs>
        <w:spacing w:line="229" w:lineRule="auto"/>
        <w:ind w:left="3" w:hanging="3"/>
        <w:rPr>
          <w:rFonts w:ascii="Arial" w:eastAsia="Arial" w:hAnsi="Arial" w:cs="Arial"/>
          <w:color w:val="231F20"/>
          <w:sz w:val="16"/>
          <w:szCs w:val="16"/>
        </w:rPr>
      </w:pPr>
      <w:r>
        <w:rPr>
          <w:rFonts w:ascii="Arial" w:eastAsia="Arial" w:hAnsi="Arial" w:cs="Arial"/>
          <w:color w:val="231F20"/>
          <w:sz w:val="16"/>
          <w:szCs w:val="16"/>
        </w:rPr>
        <w:t>En el primer año recuperaría la cantidad que invirtió (0% de retorno anual). Para los demás períodos de ma</w:t>
      </w:r>
      <w:r>
        <w:rPr>
          <w:rFonts w:ascii="Arial" w:eastAsia="Arial" w:hAnsi="Arial" w:cs="Arial"/>
          <w:color w:val="231F20"/>
          <w:sz w:val="16"/>
          <w:szCs w:val="16"/>
        </w:rPr>
        <w:t>ntenimiento hemos supuesto que el Fondo funciona como se muestra en el escenario moderado</w:t>
      </w:r>
    </w:p>
    <w:p w14:paraId="4863CA22" w14:textId="77777777" w:rsidR="00DC74FE" w:rsidRDefault="001E4384">
      <w:pPr>
        <w:numPr>
          <w:ilvl w:val="0"/>
          <w:numId w:val="2"/>
        </w:numPr>
        <w:tabs>
          <w:tab w:val="left" w:pos="103"/>
        </w:tabs>
        <w:ind w:left="103" w:hanging="103"/>
        <w:rPr>
          <w:rFonts w:ascii="Arial" w:eastAsia="Arial" w:hAnsi="Arial" w:cs="Arial"/>
          <w:color w:val="231F20"/>
          <w:sz w:val="16"/>
          <w:szCs w:val="16"/>
        </w:rPr>
      </w:pPr>
      <w:r>
        <w:rPr>
          <w:rFonts w:ascii="Arial" w:eastAsia="Arial" w:hAnsi="Arial" w:cs="Arial"/>
          <w:color w:val="231F20"/>
          <w:sz w:val="16"/>
          <w:szCs w:val="16"/>
        </w:rPr>
        <w:t>Se invierten 10.000 dólares al año.</w:t>
      </w:r>
    </w:p>
    <w:p w14:paraId="471E0C8E" w14:textId="77777777" w:rsidR="00DC74FE" w:rsidRDefault="001E4384">
      <w:pPr>
        <w:spacing w:line="20" w:lineRule="exact"/>
        <w:rPr>
          <w:sz w:val="20"/>
          <w:szCs w:val="20"/>
        </w:rPr>
      </w:pPr>
      <w:r>
        <w:rPr>
          <w:noProof/>
          <w:sz w:val="20"/>
          <w:szCs w:val="20"/>
        </w:rPr>
        <w:drawing>
          <wp:anchor distT="0" distB="0" distL="114300" distR="114300" simplePos="0" relativeHeight="251661824" behindDoc="1" locked="0" layoutInCell="0" allowOverlap="1" wp14:anchorId="0014448E" wp14:editId="07777777">
            <wp:simplePos x="0" y="0"/>
            <wp:positionH relativeFrom="column">
              <wp:posOffset>52705</wp:posOffset>
            </wp:positionH>
            <wp:positionV relativeFrom="paragraph">
              <wp:posOffset>-11430</wp:posOffset>
            </wp:positionV>
            <wp:extent cx="6935470" cy="7029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6935470" cy="702945"/>
                    </a:xfrm>
                    <a:prstGeom prst="rect">
                      <a:avLst/>
                    </a:prstGeom>
                    <a:noFill/>
                  </pic:spPr>
                </pic:pic>
              </a:graphicData>
            </a:graphic>
          </wp:anchor>
        </w:drawing>
      </w:r>
    </w:p>
    <w:p w14:paraId="54E11D2A" w14:textId="77777777" w:rsidR="00DC74FE" w:rsidRDefault="00DC74FE">
      <w:pPr>
        <w:spacing w:line="161" w:lineRule="exact"/>
        <w:rPr>
          <w:sz w:val="20"/>
          <w:szCs w:val="20"/>
        </w:rPr>
      </w:pPr>
    </w:p>
    <w:tbl>
      <w:tblPr>
        <w:tblW w:w="0" w:type="auto"/>
        <w:tblInd w:w="163" w:type="dxa"/>
        <w:tblLayout w:type="fixed"/>
        <w:tblCellMar>
          <w:left w:w="0" w:type="dxa"/>
          <w:right w:w="0" w:type="dxa"/>
        </w:tblCellMar>
        <w:tblLook w:val="04A0" w:firstRow="1" w:lastRow="0" w:firstColumn="1" w:lastColumn="0" w:noHBand="0" w:noVBand="1"/>
      </w:tblPr>
      <w:tblGrid>
        <w:gridCol w:w="3540"/>
        <w:gridCol w:w="4540"/>
        <w:gridCol w:w="2700"/>
      </w:tblGrid>
      <w:tr w:rsidR="00DC74FE" w14:paraId="5F312F8C" w14:textId="77777777">
        <w:trPr>
          <w:trHeight w:val="229"/>
        </w:trPr>
        <w:tc>
          <w:tcPr>
            <w:tcW w:w="3540" w:type="dxa"/>
            <w:vAlign w:val="bottom"/>
          </w:tcPr>
          <w:p w14:paraId="31126E5D" w14:textId="77777777" w:rsidR="00DC74FE" w:rsidRDefault="00DC74FE">
            <w:pPr>
              <w:rPr>
                <w:sz w:val="19"/>
                <w:szCs w:val="19"/>
              </w:rPr>
            </w:pPr>
          </w:p>
        </w:tc>
        <w:tc>
          <w:tcPr>
            <w:tcW w:w="4540" w:type="dxa"/>
            <w:vAlign w:val="bottom"/>
          </w:tcPr>
          <w:p w14:paraId="24F4C7CE" w14:textId="77777777" w:rsidR="00DC74FE" w:rsidRDefault="001E4384">
            <w:pPr>
              <w:ind w:right="860"/>
              <w:jc w:val="right"/>
              <w:rPr>
                <w:sz w:val="20"/>
                <w:szCs w:val="20"/>
              </w:rPr>
            </w:pPr>
            <w:r>
              <w:rPr>
                <w:rFonts w:ascii="Arial" w:eastAsia="Arial" w:hAnsi="Arial" w:cs="Arial"/>
                <w:b/>
                <w:bCs/>
                <w:color w:val="231F20"/>
                <w:sz w:val="16"/>
                <w:szCs w:val="16"/>
              </w:rPr>
              <w:t>Si sale después de 1 año</w:t>
            </w:r>
          </w:p>
        </w:tc>
        <w:tc>
          <w:tcPr>
            <w:tcW w:w="2700" w:type="dxa"/>
            <w:vAlign w:val="bottom"/>
          </w:tcPr>
          <w:p w14:paraId="246750A3" w14:textId="77777777" w:rsidR="00DC74FE" w:rsidRDefault="001E4384">
            <w:pPr>
              <w:jc w:val="right"/>
              <w:rPr>
                <w:sz w:val="20"/>
                <w:szCs w:val="20"/>
              </w:rPr>
            </w:pPr>
            <w:r>
              <w:rPr>
                <w:rFonts w:ascii="Arial" w:eastAsia="Arial" w:hAnsi="Arial" w:cs="Arial"/>
                <w:b/>
                <w:bCs/>
                <w:color w:val="231F20"/>
                <w:sz w:val="16"/>
                <w:szCs w:val="16"/>
              </w:rPr>
              <w:t>Si sale después de 5 años</w:t>
            </w:r>
          </w:p>
        </w:tc>
      </w:tr>
      <w:tr w:rsidR="00DC74FE" w14:paraId="1B0E1E08" w14:textId="77777777">
        <w:trPr>
          <w:trHeight w:val="287"/>
        </w:trPr>
        <w:tc>
          <w:tcPr>
            <w:tcW w:w="3540" w:type="dxa"/>
            <w:vAlign w:val="bottom"/>
          </w:tcPr>
          <w:p w14:paraId="15C2A08D" w14:textId="77777777" w:rsidR="00DC74FE" w:rsidRDefault="001E4384">
            <w:pPr>
              <w:rPr>
                <w:sz w:val="20"/>
                <w:szCs w:val="20"/>
              </w:rPr>
            </w:pPr>
            <w:r>
              <w:rPr>
                <w:rFonts w:ascii="Arial" w:eastAsia="Arial" w:hAnsi="Arial" w:cs="Arial"/>
                <w:color w:val="231F20"/>
                <w:sz w:val="16"/>
                <w:szCs w:val="16"/>
              </w:rPr>
              <w:t>Costes totales</w:t>
            </w:r>
          </w:p>
        </w:tc>
        <w:tc>
          <w:tcPr>
            <w:tcW w:w="4540" w:type="dxa"/>
            <w:vAlign w:val="bottom"/>
          </w:tcPr>
          <w:p w14:paraId="386F4214" w14:textId="77777777" w:rsidR="00DC74FE" w:rsidRDefault="001E4384">
            <w:pPr>
              <w:ind w:right="860"/>
              <w:jc w:val="right"/>
              <w:rPr>
                <w:sz w:val="20"/>
                <w:szCs w:val="20"/>
              </w:rPr>
            </w:pPr>
            <w:r>
              <w:rPr>
                <w:rFonts w:ascii="Arial" w:eastAsia="Arial" w:hAnsi="Arial" w:cs="Arial"/>
                <w:color w:val="231F20"/>
                <w:sz w:val="16"/>
                <w:szCs w:val="16"/>
              </w:rPr>
              <w:t>9 $</w:t>
            </w:r>
          </w:p>
        </w:tc>
        <w:tc>
          <w:tcPr>
            <w:tcW w:w="2700" w:type="dxa"/>
            <w:vAlign w:val="bottom"/>
          </w:tcPr>
          <w:p w14:paraId="40B4216C" w14:textId="77777777" w:rsidR="00DC74FE" w:rsidRDefault="001E4384">
            <w:pPr>
              <w:jc w:val="right"/>
              <w:rPr>
                <w:sz w:val="20"/>
                <w:szCs w:val="20"/>
              </w:rPr>
            </w:pPr>
            <w:r>
              <w:rPr>
                <w:rFonts w:ascii="Arial" w:eastAsia="Arial" w:hAnsi="Arial" w:cs="Arial"/>
                <w:color w:val="231F20"/>
                <w:sz w:val="16"/>
                <w:szCs w:val="16"/>
              </w:rPr>
              <w:t>69 $</w:t>
            </w:r>
          </w:p>
        </w:tc>
      </w:tr>
      <w:tr w:rsidR="00DC74FE" w14:paraId="2FB1CE0D" w14:textId="77777777">
        <w:trPr>
          <w:trHeight w:val="307"/>
        </w:trPr>
        <w:tc>
          <w:tcPr>
            <w:tcW w:w="3540" w:type="dxa"/>
            <w:vAlign w:val="bottom"/>
          </w:tcPr>
          <w:p w14:paraId="0CE695C8" w14:textId="77777777" w:rsidR="00DC74FE" w:rsidRDefault="001E4384">
            <w:pPr>
              <w:rPr>
                <w:sz w:val="20"/>
                <w:szCs w:val="20"/>
              </w:rPr>
            </w:pPr>
            <w:r>
              <w:rPr>
                <w:rFonts w:ascii="Arial" w:eastAsia="Arial" w:hAnsi="Arial" w:cs="Arial"/>
                <w:color w:val="231F20"/>
                <w:sz w:val="16"/>
                <w:szCs w:val="16"/>
              </w:rPr>
              <w:t>Incidencia anual en los costes (*)</w:t>
            </w:r>
          </w:p>
        </w:tc>
        <w:tc>
          <w:tcPr>
            <w:tcW w:w="4540" w:type="dxa"/>
            <w:vAlign w:val="bottom"/>
          </w:tcPr>
          <w:p w14:paraId="4BBDF39C" w14:textId="77777777" w:rsidR="00DC74FE" w:rsidRDefault="001E4384">
            <w:pPr>
              <w:ind w:right="860"/>
              <w:jc w:val="right"/>
              <w:rPr>
                <w:sz w:val="20"/>
                <w:szCs w:val="20"/>
              </w:rPr>
            </w:pPr>
            <w:r>
              <w:rPr>
                <w:rFonts w:ascii="Arial" w:eastAsia="Arial" w:hAnsi="Arial" w:cs="Arial"/>
                <w:color w:val="231F20"/>
                <w:sz w:val="16"/>
                <w:szCs w:val="16"/>
              </w:rPr>
              <w:t>0,1 %</w:t>
            </w:r>
          </w:p>
        </w:tc>
        <w:tc>
          <w:tcPr>
            <w:tcW w:w="2700" w:type="dxa"/>
            <w:vAlign w:val="bottom"/>
          </w:tcPr>
          <w:p w14:paraId="255545A1" w14:textId="77777777" w:rsidR="00DC74FE" w:rsidRDefault="001E4384">
            <w:pPr>
              <w:jc w:val="right"/>
              <w:rPr>
                <w:sz w:val="20"/>
                <w:szCs w:val="20"/>
              </w:rPr>
            </w:pPr>
            <w:r>
              <w:rPr>
                <w:rFonts w:ascii="Arial" w:eastAsia="Arial" w:hAnsi="Arial" w:cs="Arial"/>
                <w:color w:val="231F20"/>
                <w:sz w:val="16"/>
                <w:szCs w:val="16"/>
              </w:rPr>
              <w:t>0,1% cada año</w:t>
            </w:r>
          </w:p>
        </w:tc>
      </w:tr>
    </w:tbl>
    <w:p w14:paraId="2DE403A5" w14:textId="77777777" w:rsidR="00DC74FE" w:rsidRDefault="00DC74FE">
      <w:pPr>
        <w:spacing w:line="194" w:lineRule="exact"/>
        <w:rPr>
          <w:sz w:val="20"/>
          <w:szCs w:val="20"/>
        </w:rPr>
      </w:pPr>
    </w:p>
    <w:p w14:paraId="3ED0166A" w14:textId="77777777" w:rsidR="00DC74FE" w:rsidRDefault="001E4384">
      <w:pPr>
        <w:numPr>
          <w:ilvl w:val="0"/>
          <w:numId w:val="3"/>
        </w:numPr>
        <w:tabs>
          <w:tab w:val="left" w:pos="223"/>
        </w:tabs>
        <w:spacing w:line="248" w:lineRule="auto"/>
        <w:ind w:left="3" w:hanging="3"/>
        <w:rPr>
          <w:rFonts w:ascii="Arial" w:eastAsia="Arial" w:hAnsi="Arial" w:cs="Arial"/>
          <w:color w:val="231F20"/>
          <w:sz w:val="16"/>
          <w:szCs w:val="16"/>
        </w:rPr>
      </w:pPr>
      <w:r>
        <w:rPr>
          <w:rFonts w:ascii="Arial" w:eastAsia="Arial" w:hAnsi="Arial" w:cs="Arial"/>
          <w:color w:val="231F20"/>
          <w:sz w:val="16"/>
          <w:szCs w:val="16"/>
        </w:rPr>
        <w:t>Esto ilustra cómo los costes reducen su rendimiento cada año durante el período de retención.</w:t>
      </w:r>
      <w:r>
        <w:rPr>
          <w:rFonts w:ascii="Arial" w:eastAsia="Arial" w:hAnsi="Arial" w:cs="Arial"/>
          <w:color w:val="231F20"/>
          <w:sz w:val="16"/>
          <w:szCs w:val="16"/>
        </w:rPr>
        <w:t xml:space="preserve"> Por ejemplo, muestra que si sale en el período de retención recomendado, se prevé que su rendimiento medio anual sea del 12,3 % antes de los costes y del 12,2 % después de los costes.</w:t>
      </w:r>
    </w:p>
    <w:p w14:paraId="62431CDC" w14:textId="77777777" w:rsidR="00DC74FE" w:rsidRDefault="00DC74FE">
      <w:pPr>
        <w:spacing w:line="14" w:lineRule="exact"/>
        <w:rPr>
          <w:sz w:val="20"/>
          <w:szCs w:val="20"/>
        </w:rPr>
      </w:pPr>
    </w:p>
    <w:p w14:paraId="2A7FAC6F" w14:textId="77777777" w:rsidR="00DC74FE" w:rsidRDefault="001E4384">
      <w:pPr>
        <w:ind w:left="3"/>
        <w:rPr>
          <w:sz w:val="20"/>
          <w:szCs w:val="20"/>
        </w:rPr>
      </w:pPr>
      <w:r>
        <w:rPr>
          <w:rFonts w:ascii="Arial" w:eastAsia="Arial" w:hAnsi="Arial" w:cs="Arial"/>
          <w:color w:val="231F20"/>
          <w:sz w:val="16"/>
          <w:szCs w:val="16"/>
        </w:rPr>
        <w:t>Podemos compartir parte de los costos con la persona que le vende el F</w:t>
      </w:r>
      <w:r>
        <w:rPr>
          <w:rFonts w:ascii="Arial" w:eastAsia="Arial" w:hAnsi="Arial" w:cs="Arial"/>
          <w:color w:val="231F20"/>
          <w:sz w:val="16"/>
          <w:szCs w:val="16"/>
        </w:rPr>
        <w:t>ondo para cubrir los servicios que le brindan. Ellos le informarán de la cantidad.</w:t>
      </w:r>
    </w:p>
    <w:p w14:paraId="49E398E2" w14:textId="77777777" w:rsidR="00DC74FE" w:rsidRDefault="00DC74FE">
      <w:pPr>
        <w:sectPr w:rsidR="00DC74FE">
          <w:type w:val="continuous"/>
          <w:pgSz w:w="11900" w:h="16838"/>
          <w:pgMar w:top="606" w:right="406" w:bottom="1440" w:left="397" w:header="0" w:footer="0" w:gutter="0"/>
          <w:cols w:space="720" w:equalWidth="0">
            <w:col w:w="11103"/>
          </w:cols>
        </w:sectPr>
      </w:pPr>
    </w:p>
    <w:p w14:paraId="48A7744A" w14:textId="77777777" w:rsidR="00DC74FE" w:rsidRDefault="001E4384">
      <w:pPr>
        <w:ind w:left="3"/>
        <w:rPr>
          <w:sz w:val="20"/>
          <w:szCs w:val="20"/>
        </w:rPr>
      </w:pPr>
      <w:bookmarkStart w:id="2" w:name="page3"/>
      <w:bookmarkEnd w:id="2"/>
      <w:r>
        <w:rPr>
          <w:rFonts w:ascii="Arial" w:eastAsia="Arial" w:hAnsi="Arial" w:cs="Arial"/>
          <w:b/>
          <w:bCs/>
          <w:color w:val="231F20"/>
          <w:sz w:val="18"/>
          <w:szCs w:val="18"/>
        </w:rPr>
        <w:t>Composición de los costes</w:t>
      </w:r>
    </w:p>
    <w:p w14:paraId="6AC12427" w14:textId="77777777" w:rsidR="00DC74FE" w:rsidRDefault="001E4384">
      <w:pPr>
        <w:spacing w:line="20" w:lineRule="exact"/>
        <w:rPr>
          <w:sz w:val="20"/>
          <w:szCs w:val="20"/>
        </w:rPr>
      </w:pPr>
      <w:r>
        <w:rPr>
          <w:noProof/>
          <w:sz w:val="20"/>
          <w:szCs w:val="20"/>
        </w:rPr>
        <w:drawing>
          <wp:anchor distT="0" distB="0" distL="114300" distR="114300" simplePos="0" relativeHeight="251662848" behindDoc="1" locked="0" layoutInCell="0" allowOverlap="1" wp14:anchorId="44ABD80B" wp14:editId="07777777">
            <wp:simplePos x="0" y="0"/>
            <wp:positionH relativeFrom="column">
              <wp:posOffset>-18415</wp:posOffset>
            </wp:positionH>
            <wp:positionV relativeFrom="paragraph">
              <wp:posOffset>13335</wp:posOffset>
            </wp:positionV>
            <wp:extent cx="7094220" cy="217551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7094220" cy="2175510"/>
                    </a:xfrm>
                    <a:prstGeom prst="rect">
                      <a:avLst/>
                    </a:prstGeom>
                    <a:noFill/>
                  </pic:spPr>
                </pic:pic>
              </a:graphicData>
            </a:graphic>
          </wp:anchor>
        </w:drawing>
      </w:r>
    </w:p>
    <w:p w14:paraId="16287F21" w14:textId="77777777" w:rsidR="00DC74FE" w:rsidRDefault="00DC74FE">
      <w:pPr>
        <w:spacing w:line="202" w:lineRule="exact"/>
        <w:rPr>
          <w:sz w:val="20"/>
          <w:szCs w:val="20"/>
        </w:rPr>
      </w:pPr>
    </w:p>
    <w:tbl>
      <w:tblPr>
        <w:tblW w:w="0" w:type="auto"/>
        <w:tblInd w:w="63" w:type="dxa"/>
        <w:tblLayout w:type="fixed"/>
        <w:tblCellMar>
          <w:left w:w="0" w:type="dxa"/>
          <w:right w:w="0" w:type="dxa"/>
        </w:tblCellMar>
        <w:tblLook w:val="04A0" w:firstRow="1" w:lastRow="0" w:firstColumn="1" w:lastColumn="0" w:noHBand="0" w:noVBand="1"/>
      </w:tblPr>
      <w:tblGrid>
        <w:gridCol w:w="1540"/>
        <w:gridCol w:w="7220"/>
        <w:gridCol w:w="2060"/>
      </w:tblGrid>
      <w:tr w:rsidR="00DC74FE" w14:paraId="6AFC7697" w14:textId="77777777">
        <w:trPr>
          <w:trHeight w:val="229"/>
        </w:trPr>
        <w:tc>
          <w:tcPr>
            <w:tcW w:w="8760" w:type="dxa"/>
            <w:gridSpan w:val="2"/>
            <w:vAlign w:val="bottom"/>
          </w:tcPr>
          <w:p w14:paraId="04E1D770" w14:textId="77777777" w:rsidR="00DC74FE" w:rsidRDefault="001E4384">
            <w:pPr>
              <w:rPr>
                <w:sz w:val="20"/>
                <w:szCs w:val="20"/>
              </w:rPr>
            </w:pPr>
            <w:r>
              <w:rPr>
                <w:rFonts w:ascii="Arial" w:eastAsia="Arial" w:hAnsi="Arial" w:cs="Arial"/>
                <w:b/>
                <w:bCs/>
                <w:color w:val="231F20"/>
                <w:sz w:val="16"/>
                <w:szCs w:val="16"/>
              </w:rPr>
              <w:t>Costes puntuales a la entrada o a la salida</w:t>
            </w:r>
          </w:p>
        </w:tc>
        <w:tc>
          <w:tcPr>
            <w:tcW w:w="2060" w:type="dxa"/>
            <w:vAlign w:val="bottom"/>
          </w:tcPr>
          <w:p w14:paraId="3D2B72F7" w14:textId="77777777" w:rsidR="00DC74FE" w:rsidRDefault="001E4384">
            <w:pPr>
              <w:jc w:val="right"/>
              <w:rPr>
                <w:sz w:val="20"/>
                <w:szCs w:val="20"/>
              </w:rPr>
            </w:pPr>
            <w:r>
              <w:rPr>
                <w:rFonts w:ascii="Arial" w:eastAsia="Arial" w:hAnsi="Arial" w:cs="Arial"/>
                <w:b/>
                <w:bCs/>
                <w:color w:val="231F20"/>
                <w:sz w:val="16"/>
                <w:szCs w:val="16"/>
              </w:rPr>
              <w:t>Si sale después de 1 año</w:t>
            </w:r>
          </w:p>
        </w:tc>
      </w:tr>
      <w:tr w:rsidR="00DC74FE" w14:paraId="06DDAEB6" w14:textId="77777777">
        <w:trPr>
          <w:trHeight w:val="287"/>
        </w:trPr>
        <w:tc>
          <w:tcPr>
            <w:tcW w:w="1540" w:type="dxa"/>
            <w:vAlign w:val="bottom"/>
          </w:tcPr>
          <w:p w14:paraId="4831C50D" w14:textId="77777777" w:rsidR="00DC74FE" w:rsidRDefault="001E4384">
            <w:pPr>
              <w:rPr>
                <w:sz w:val="20"/>
                <w:szCs w:val="20"/>
              </w:rPr>
            </w:pPr>
            <w:r>
              <w:rPr>
                <w:rFonts w:ascii="Arial" w:eastAsia="Arial" w:hAnsi="Arial" w:cs="Arial"/>
                <w:color w:val="231F20"/>
                <w:sz w:val="16"/>
                <w:szCs w:val="16"/>
              </w:rPr>
              <w:t>Costes de entrada</w:t>
            </w:r>
          </w:p>
        </w:tc>
        <w:tc>
          <w:tcPr>
            <w:tcW w:w="7220" w:type="dxa"/>
            <w:vAlign w:val="bottom"/>
          </w:tcPr>
          <w:p w14:paraId="7FCD4A33" w14:textId="77777777" w:rsidR="00DC74FE" w:rsidRDefault="001E4384">
            <w:pPr>
              <w:ind w:left="780"/>
              <w:rPr>
                <w:sz w:val="20"/>
                <w:szCs w:val="20"/>
              </w:rPr>
            </w:pPr>
            <w:r>
              <w:rPr>
                <w:rFonts w:ascii="Arial" w:eastAsia="Arial" w:hAnsi="Arial" w:cs="Arial"/>
                <w:color w:val="231F20"/>
                <w:sz w:val="16"/>
                <w:szCs w:val="16"/>
              </w:rPr>
              <w:t>La Caja no cobra una tasa de entrada.</w:t>
            </w:r>
          </w:p>
        </w:tc>
        <w:tc>
          <w:tcPr>
            <w:tcW w:w="2060" w:type="dxa"/>
            <w:vAlign w:val="bottom"/>
          </w:tcPr>
          <w:p w14:paraId="1DB0DDB3" w14:textId="77777777" w:rsidR="00DC74FE" w:rsidRDefault="001E4384">
            <w:pPr>
              <w:ind w:right="1360"/>
              <w:jc w:val="right"/>
              <w:rPr>
                <w:sz w:val="20"/>
                <w:szCs w:val="20"/>
              </w:rPr>
            </w:pPr>
            <w:r>
              <w:rPr>
                <w:rFonts w:ascii="Arial" w:eastAsia="Arial" w:hAnsi="Arial" w:cs="Arial"/>
                <w:color w:val="231F20"/>
                <w:sz w:val="16"/>
                <w:szCs w:val="16"/>
              </w:rPr>
              <w:t>0 $</w:t>
            </w:r>
          </w:p>
        </w:tc>
      </w:tr>
      <w:tr w:rsidR="00DC74FE" w14:paraId="66B97453" w14:textId="77777777">
        <w:trPr>
          <w:trHeight w:val="307"/>
        </w:trPr>
        <w:tc>
          <w:tcPr>
            <w:tcW w:w="1540" w:type="dxa"/>
            <w:vAlign w:val="bottom"/>
          </w:tcPr>
          <w:p w14:paraId="477C6E6D" w14:textId="77777777" w:rsidR="00DC74FE" w:rsidRDefault="001E4384">
            <w:pPr>
              <w:rPr>
                <w:sz w:val="20"/>
                <w:szCs w:val="20"/>
              </w:rPr>
            </w:pPr>
            <w:r>
              <w:rPr>
                <w:rFonts w:ascii="Arial" w:eastAsia="Arial" w:hAnsi="Arial" w:cs="Arial"/>
                <w:color w:val="231F20"/>
                <w:sz w:val="16"/>
                <w:szCs w:val="16"/>
              </w:rPr>
              <w:t>Costes de salida</w:t>
            </w:r>
          </w:p>
        </w:tc>
        <w:tc>
          <w:tcPr>
            <w:tcW w:w="7220" w:type="dxa"/>
            <w:vAlign w:val="bottom"/>
          </w:tcPr>
          <w:p w14:paraId="40608FA2" w14:textId="77777777" w:rsidR="00DC74FE" w:rsidRDefault="001E4384">
            <w:pPr>
              <w:ind w:left="780"/>
              <w:rPr>
                <w:sz w:val="20"/>
                <w:szCs w:val="20"/>
              </w:rPr>
            </w:pPr>
            <w:r>
              <w:rPr>
                <w:rFonts w:ascii="Arial" w:eastAsia="Arial" w:hAnsi="Arial" w:cs="Arial"/>
                <w:color w:val="231F20"/>
                <w:sz w:val="16"/>
                <w:szCs w:val="16"/>
              </w:rPr>
              <w:t>El Fondo no cobra una tarifa de salida, pero la persona que le vende el Fondo puede hacerlo.</w:t>
            </w:r>
          </w:p>
        </w:tc>
        <w:tc>
          <w:tcPr>
            <w:tcW w:w="2060" w:type="dxa"/>
            <w:vAlign w:val="bottom"/>
          </w:tcPr>
          <w:p w14:paraId="3C24ADEE" w14:textId="77777777" w:rsidR="00DC74FE" w:rsidRDefault="001E4384">
            <w:pPr>
              <w:ind w:right="1360"/>
              <w:jc w:val="right"/>
              <w:rPr>
                <w:sz w:val="20"/>
                <w:szCs w:val="20"/>
              </w:rPr>
            </w:pPr>
            <w:r>
              <w:rPr>
                <w:rFonts w:ascii="Arial" w:eastAsia="Arial" w:hAnsi="Arial" w:cs="Arial"/>
                <w:color w:val="231F20"/>
                <w:sz w:val="16"/>
                <w:szCs w:val="16"/>
              </w:rPr>
              <w:t>0 $</w:t>
            </w:r>
          </w:p>
        </w:tc>
      </w:tr>
    </w:tbl>
    <w:p w14:paraId="5BE93A62" w14:textId="77777777" w:rsidR="00DC74FE" w:rsidRDefault="00DC74FE">
      <w:pPr>
        <w:spacing w:line="91" w:lineRule="exact"/>
        <w:rPr>
          <w:sz w:val="20"/>
          <w:szCs w:val="20"/>
        </w:rPr>
      </w:pPr>
    </w:p>
    <w:p w14:paraId="5F2BBF60" w14:textId="77777777" w:rsidR="00DC74FE" w:rsidRDefault="001E4384">
      <w:pPr>
        <w:ind w:left="63"/>
        <w:rPr>
          <w:sz w:val="20"/>
          <w:szCs w:val="20"/>
        </w:rPr>
      </w:pPr>
      <w:r>
        <w:rPr>
          <w:rFonts w:ascii="Arial" w:eastAsia="Arial" w:hAnsi="Arial" w:cs="Arial"/>
          <w:sz w:val="18"/>
          <w:szCs w:val="18"/>
        </w:rPr>
        <w:t>Costes continuos tomados cada año</w:t>
      </w:r>
    </w:p>
    <w:p w14:paraId="384BA73E" w14:textId="77777777" w:rsidR="00DC74FE" w:rsidRDefault="00DC74FE">
      <w:pPr>
        <w:spacing w:line="82" w:lineRule="exact"/>
        <w:rPr>
          <w:sz w:val="20"/>
          <w:szCs w:val="20"/>
        </w:rPr>
      </w:pPr>
    </w:p>
    <w:p w14:paraId="082F9E86" w14:textId="77777777" w:rsidR="00DC74FE" w:rsidRDefault="001E4384">
      <w:pPr>
        <w:ind w:left="63"/>
        <w:rPr>
          <w:sz w:val="20"/>
          <w:szCs w:val="20"/>
        </w:rPr>
      </w:pPr>
      <w:r>
        <w:rPr>
          <w:rFonts w:ascii="Arial" w:eastAsia="Arial" w:hAnsi="Arial" w:cs="Arial"/>
          <w:color w:val="231F20"/>
          <w:sz w:val="16"/>
          <w:szCs w:val="16"/>
        </w:rPr>
        <w:t>Honorarios de gestión y otros</w:t>
      </w:r>
    </w:p>
    <w:p w14:paraId="20E62CEF" w14:textId="77777777" w:rsidR="00DC74FE" w:rsidRDefault="001E4384">
      <w:pPr>
        <w:spacing w:line="192" w:lineRule="auto"/>
        <w:ind w:left="2383"/>
        <w:rPr>
          <w:sz w:val="20"/>
          <w:szCs w:val="20"/>
        </w:rPr>
      </w:pPr>
      <w:r>
        <w:rPr>
          <w:rFonts w:ascii="Arial" w:eastAsia="Arial" w:hAnsi="Arial" w:cs="Arial"/>
          <w:color w:val="231F20"/>
          <w:sz w:val="10"/>
          <w:szCs w:val="10"/>
        </w:rPr>
        <w:t>0.07% del valor de su inversión por año. Se trata de una estimación basada en los costos reales sobre</w:t>
      </w:r>
    </w:p>
    <w:p w14:paraId="3210D13A" w14:textId="77777777" w:rsidR="00DC74FE" w:rsidRDefault="001E4384">
      <w:pPr>
        <w:tabs>
          <w:tab w:val="left" w:pos="2363"/>
        </w:tabs>
        <w:ind w:left="2383" w:right="1680" w:hanging="2319"/>
        <w:jc w:val="both"/>
        <w:rPr>
          <w:sz w:val="20"/>
          <w:szCs w:val="20"/>
        </w:rPr>
      </w:pPr>
      <w:r>
        <w:rPr>
          <w:rFonts w:ascii="Arial" w:eastAsia="Arial" w:hAnsi="Arial" w:cs="Arial"/>
          <w:color w:val="231F20"/>
          <w:sz w:val="16"/>
          <w:szCs w:val="16"/>
        </w:rPr>
        <w:t>administrativo o operativo</w:t>
      </w:r>
      <w:r>
        <w:rPr>
          <w:rFonts w:ascii="Arial" w:eastAsia="Arial" w:hAnsi="Arial" w:cs="Arial"/>
          <w:color w:val="231F20"/>
          <w:sz w:val="16"/>
          <w:szCs w:val="16"/>
        </w:rPr>
        <w:tab/>
        <w:t>$7 el último año y toma en cuenta cualquier cambio futuro conocido.</w:t>
      </w:r>
    </w:p>
    <w:p w14:paraId="229DC7F9" w14:textId="77777777" w:rsidR="00DC74FE" w:rsidRDefault="001E4384">
      <w:pPr>
        <w:spacing w:line="217" w:lineRule="auto"/>
        <w:ind w:left="63"/>
        <w:rPr>
          <w:sz w:val="20"/>
          <w:szCs w:val="20"/>
        </w:rPr>
      </w:pPr>
      <w:r>
        <w:rPr>
          <w:rFonts w:ascii="Arial" w:eastAsia="Arial" w:hAnsi="Arial" w:cs="Arial"/>
          <w:color w:val="231F20"/>
          <w:sz w:val="16"/>
          <w:szCs w:val="16"/>
        </w:rPr>
        <w:t>costes</w:t>
      </w:r>
    </w:p>
    <w:p w14:paraId="34B3F2EB" w14:textId="77777777" w:rsidR="00DC74FE" w:rsidRDefault="00DC74FE">
      <w:pPr>
        <w:spacing w:line="93" w:lineRule="exact"/>
        <w:rPr>
          <w:sz w:val="20"/>
          <w:szCs w:val="20"/>
        </w:rPr>
      </w:pPr>
    </w:p>
    <w:p w14:paraId="525D9CDF" w14:textId="77777777" w:rsidR="00DC74FE" w:rsidRDefault="001E4384">
      <w:pPr>
        <w:ind w:left="2383"/>
        <w:rPr>
          <w:sz w:val="20"/>
          <w:szCs w:val="20"/>
        </w:rPr>
      </w:pPr>
      <w:r>
        <w:rPr>
          <w:rFonts w:ascii="Arial" w:eastAsia="Arial" w:hAnsi="Arial" w:cs="Arial"/>
          <w:color w:val="231F20"/>
          <w:sz w:val="16"/>
          <w:szCs w:val="16"/>
        </w:rPr>
        <w:t>0.02% del valor de su inversión por año. Se trata de una estimación de los costes incurridos cuando</w:t>
      </w:r>
    </w:p>
    <w:p w14:paraId="7D34F5C7" w14:textId="77777777" w:rsidR="00DC74FE" w:rsidRDefault="00DC74FE">
      <w:pPr>
        <w:spacing w:line="31" w:lineRule="exact"/>
        <w:rPr>
          <w:sz w:val="20"/>
          <w:szCs w:val="20"/>
        </w:rPr>
      </w:pPr>
    </w:p>
    <w:p w14:paraId="0B1ED43A" w14:textId="77777777" w:rsidR="00DC74FE" w:rsidRDefault="001E4384">
      <w:pPr>
        <w:tabs>
          <w:tab w:val="left" w:pos="2363"/>
        </w:tabs>
        <w:spacing w:line="239" w:lineRule="auto"/>
        <w:ind w:left="2383" w:right="1680" w:hanging="2319"/>
        <w:jc w:val="both"/>
        <w:rPr>
          <w:sz w:val="20"/>
          <w:szCs w:val="20"/>
        </w:rPr>
      </w:pPr>
      <w:r>
        <w:rPr>
          <w:rFonts w:ascii="Arial" w:eastAsia="Arial" w:hAnsi="Arial" w:cs="Arial"/>
          <w:color w:val="231F20"/>
          <w:sz w:val="16"/>
          <w:szCs w:val="16"/>
        </w:rPr>
        <w:t>Costes de transacción</w:t>
      </w:r>
      <w:r>
        <w:rPr>
          <w:rFonts w:ascii="Arial" w:eastAsia="Arial" w:hAnsi="Arial" w:cs="Arial"/>
          <w:color w:val="231F20"/>
          <w:sz w:val="16"/>
          <w:szCs w:val="16"/>
        </w:rPr>
        <w:tab/>
        <w:t>compramos y vendemos las inversiones subyacentes para el Fondo. La cantidad real variará $2 dependiendo de cuánto compremos y vendamo</w:t>
      </w:r>
      <w:r>
        <w:rPr>
          <w:rFonts w:ascii="Arial" w:eastAsia="Arial" w:hAnsi="Arial" w:cs="Arial"/>
          <w:color w:val="231F20"/>
          <w:sz w:val="16"/>
          <w:szCs w:val="16"/>
        </w:rPr>
        <w:t>s.</w:t>
      </w:r>
    </w:p>
    <w:p w14:paraId="0B4020A7" w14:textId="77777777" w:rsidR="00DC74FE" w:rsidRDefault="00DC74FE">
      <w:pPr>
        <w:spacing w:line="92" w:lineRule="exact"/>
        <w:rPr>
          <w:sz w:val="20"/>
          <w:szCs w:val="20"/>
        </w:rPr>
      </w:pPr>
    </w:p>
    <w:p w14:paraId="3F3DC1F6" w14:textId="77777777" w:rsidR="00DC74FE" w:rsidRDefault="001E4384">
      <w:pPr>
        <w:ind w:left="63"/>
        <w:rPr>
          <w:sz w:val="20"/>
          <w:szCs w:val="20"/>
        </w:rPr>
      </w:pPr>
      <w:r>
        <w:rPr>
          <w:rFonts w:ascii="Arial" w:eastAsia="Arial" w:hAnsi="Arial" w:cs="Arial"/>
          <w:sz w:val="18"/>
          <w:szCs w:val="18"/>
        </w:rPr>
        <w:t>Costes accidentales asumidos en condiciones específicas</w:t>
      </w:r>
    </w:p>
    <w:p w14:paraId="1D7B270A" w14:textId="77777777" w:rsidR="00DC74FE" w:rsidRDefault="00DC74FE">
      <w:pPr>
        <w:spacing w:line="17" w:lineRule="exact"/>
        <w:rPr>
          <w:sz w:val="20"/>
          <w:szCs w:val="20"/>
        </w:rPr>
      </w:pPr>
    </w:p>
    <w:p w14:paraId="69F4E1E3" w14:textId="77777777" w:rsidR="00DC74FE" w:rsidRDefault="001E4384">
      <w:pPr>
        <w:ind w:left="63"/>
        <w:rPr>
          <w:sz w:val="20"/>
          <w:szCs w:val="20"/>
        </w:rPr>
      </w:pPr>
      <w:r>
        <w:rPr>
          <w:rFonts w:ascii="Arial" w:eastAsia="Arial" w:hAnsi="Arial" w:cs="Arial"/>
          <w:color w:val="231F20"/>
          <w:sz w:val="16"/>
          <w:szCs w:val="16"/>
        </w:rPr>
        <w:t>Tasas de rendimiento</w:t>
      </w:r>
      <w:r>
        <w:rPr>
          <w:noProof/>
          <w:sz w:val="1"/>
          <w:szCs w:val="1"/>
        </w:rPr>
        <w:drawing>
          <wp:inline distT="0" distB="0" distL="0" distR="0" wp14:anchorId="13CB8279" wp14:editId="07777777">
            <wp:extent cx="43180"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srcRect/>
                    <a:stretch>
                      <a:fillRect/>
                    </a:stretch>
                  </pic:blipFill>
                  <pic:spPr bwMode="auto">
                    <a:xfrm>
                      <a:off x="0" y="0"/>
                      <a:ext cx="43180" cy="233045"/>
                    </a:xfrm>
                    <a:prstGeom prst="rect">
                      <a:avLst/>
                    </a:prstGeom>
                    <a:noFill/>
                    <a:ln>
                      <a:noFill/>
                    </a:ln>
                  </pic:spPr>
                </pic:pic>
              </a:graphicData>
            </a:graphic>
          </wp:inline>
        </w:drawing>
      </w:r>
      <w:r>
        <w:rPr>
          <w:rFonts w:ascii="Arial" w:eastAsia="Arial" w:hAnsi="Arial" w:cs="Arial"/>
          <w:color w:val="231F20"/>
          <w:sz w:val="16"/>
          <w:szCs w:val="16"/>
        </w:rPr>
        <w:t xml:space="preserve"> No hay ninguna tasa de rendimiento para este Fondo.                                            </w:t>
      </w:r>
      <w:r>
        <w:rPr>
          <w:noProof/>
          <w:sz w:val="1"/>
          <w:szCs w:val="1"/>
        </w:rPr>
        <w:drawing>
          <wp:inline distT="0" distB="0" distL="0" distR="0" wp14:anchorId="4A0368E8" wp14:editId="07777777">
            <wp:extent cx="43180" cy="23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43180" cy="233045"/>
                    </a:xfrm>
                    <a:prstGeom prst="rect">
                      <a:avLst/>
                    </a:prstGeom>
                    <a:noFill/>
                    <a:ln>
                      <a:noFill/>
                    </a:ln>
                  </pic:spPr>
                </pic:pic>
              </a:graphicData>
            </a:graphic>
          </wp:inline>
        </w:drawing>
      </w:r>
      <w:r>
        <w:rPr>
          <w:rFonts w:ascii="Arial" w:eastAsia="Arial" w:hAnsi="Arial" w:cs="Arial"/>
          <w:color w:val="231F20"/>
          <w:sz w:val="16"/>
          <w:szCs w:val="16"/>
        </w:rPr>
        <w:t xml:space="preserve"> 0 $</w:t>
      </w:r>
    </w:p>
    <w:p w14:paraId="392123EA" w14:textId="77777777" w:rsidR="00DC74FE" w:rsidRDefault="001E4384">
      <w:pPr>
        <w:spacing w:line="20" w:lineRule="exact"/>
        <w:rPr>
          <w:sz w:val="20"/>
          <w:szCs w:val="20"/>
        </w:rPr>
      </w:pPr>
      <w:r>
        <w:rPr>
          <w:noProof/>
          <w:sz w:val="20"/>
          <w:szCs w:val="20"/>
        </w:rPr>
        <w:drawing>
          <wp:anchor distT="0" distB="0" distL="114300" distR="114300" simplePos="0" relativeHeight="251663872" behindDoc="1" locked="0" layoutInCell="0" allowOverlap="1" wp14:anchorId="5555E473" wp14:editId="07777777">
            <wp:simplePos x="0" y="0"/>
            <wp:positionH relativeFrom="column">
              <wp:posOffset>-18415</wp:posOffset>
            </wp:positionH>
            <wp:positionV relativeFrom="paragraph">
              <wp:posOffset>36830</wp:posOffset>
            </wp:positionV>
            <wp:extent cx="7094220" cy="444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4F904CB7" w14:textId="77777777" w:rsidR="00DC74FE" w:rsidRDefault="00DC74FE">
      <w:pPr>
        <w:spacing w:line="119" w:lineRule="exact"/>
        <w:rPr>
          <w:sz w:val="20"/>
          <w:szCs w:val="20"/>
        </w:rPr>
      </w:pPr>
    </w:p>
    <w:p w14:paraId="49E0D45A" w14:textId="77777777" w:rsidR="00DC74FE" w:rsidRDefault="001E4384">
      <w:pPr>
        <w:ind w:left="3"/>
        <w:rPr>
          <w:sz w:val="20"/>
          <w:szCs w:val="20"/>
        </w:rPr>
      </w:pPr>
      <w:r>
        <w:rPr>
          <w:rFonts w:ascii="Arial" w:eastAsia="Arial" w:hAnsi="Arial" w:cs="Arial"/>
          <w:color w:val="231F20"/>
          <w:sz w:val="24"/>
          <w:szCs w:val="24"/>
        </w:rPr>
        <w:t>¿Cuánto tiempo debo aguantar y puedo sacar dinero temprano?</w:t>
      </w:r>
    </w:p>
    <w:p w14:paraId="06971CD3" w14:textId="77777777" w:rsidR="00DC74FE" w:rsidRDefault="00DC74FE">
      <w:pPr>
        <w:spacing w:line="108" w:lineRule="exact"/>
        <w:rPr>
          <w:sz w:val="20"/>
          <w:szCs w:val="20"/>
        </w:rPr>
      </w:pPr>
    </w:p>
    <w:p w14:paraId="501EF50E" w14:textId="77777777" w:rsidR="00DC74FE" w:rsidRDefault="001E4384">
      <w:pPr>
        <w:ind w:left="3"/>
        <w:rPr>
          <w:sz w:val="20"/>
          <w:szCs w:val="20"/>
        </w:rPr>
      </w:pPr>
      <w:r>
        <w:rPr>
          <w:rFonts w:ascii="Arial" w:eastAsia="Arial" w:hAnsi="Arial" w:cs="Arial"/>
          <w:b/>
          <w:bCs/>
          <w:color w:val="231F20"/>
          <w:sz w:val="16"/>
          <w:szCs w:val="16"/>
        </w:rPr>
        <w:t>Período de mantenimiento recomendado: 5 años</w:t>
      </w:r>
    </w:p>
    <w:p w14:paraId="2A1F701D" w14:textId="77777777" w:rsidR="00DC74FE" w:rsidRDefault="00DC74FE">
      <w:pPr>
        <w:spacing w:line="54" w:lineRule="exact"/>
        <w:rPr>
          <w:sz w:val="20"/>
          <w:szCs w:val="20"/>
        </w:rPr>
      </w:pPr>
    </w:p>
    <w:p w14:paraId="7A79757E" w14:textId="77777777" w:rsidR="00DC74FE" w:rsidRDefault="001E4384">
      <w:pPr>
        <w:ind w:left="3"/>
        <w:rPr>
          <w:sz w:val="20"/>
          <w:szCs w:val="20"/>
        </w:rPr>
      </w:pPr>
      <w:r>
        <w:rPr>
          <w:rFonts w:ascii="Arial" w:eastAsia="Arial" w:hAnsi="Arial" w:cs="Arial"/>
          <w:color w:val="231F20"/>
          <w:sz w:val="16"/>
          <w:szCs w:val="16"/>
        </w:rPr>
        <w:t>El Fondo no tiene un período de tenencia mínimo requerido, pero está diseñado para la inversión a largo plazo; debe tener un horizonte de inversión d</w:t>
      </w:r>
      <w:r>
        <w:rPr>
          <w:rFonts w:ascii="Arial" w:eastAsia="Arial" w:hAnsi="Arial" w:cs="Arial"/>
          <w:color w:val="231F20"/>
          <w:sz w:val="16"/>
          <w:szCs w:val="16"/>
        </w:rPr>
        <w:t>e al menos 5 años.</w:t>
      </w:r>
    </w:p>
    <w:p w14:paraId="03EFCA41" w14:textId="77777777" w:rsidR="00DC74FE" w:rsidRDefault="00DC74FE">
      <w:pPr>
        <w:spacing w:line="50" w:lineRule="exact"/>
        <w:rPr>
          <w:sz w:val="20"/>
          <w:szCs w:val="20"/>
        </w:rPr>
      </w:pPr>
    </w:p>
    <w:p w14:paraId="2B69DCD5" w14:textId="77777777" w:rsidR="00DC74FE" w:rsidRDefault="001E4384">
      <w:pPr>
        <w:ind w:left="3"/>
        <w:rPr>
          <w:sz w:val="20"/>
          <w:szCs w:val="20"/>
        </w:rPr>
      </w:pPr>
      <w:r>
        <w:rPr>
          <w:rFonts w:ascii="Arial" w:eastAsia="Arial" w:hAnsi="Arial" w:cs="Arial"/>
          <w:color w:val="231F20"/>
          <w:sz w:val="16"/>
          <w:szCs w:val="16"/>
        </w:rPr>
        <w:t>Véase la sección del folleto titulada “Reembolso de acciones” para conocer algunas comisiones pagaderas en relación con los reembolsos.</w:t>
      </w:r>
    </w:p>
    <w:p w14:paraId="17E2ACAD" w14:textId="77777777" w:rsidR="00DC74FE" w:rsidRDefault="001E4384">
      <w:pPr>
        <w:spacing w:line="20" w:lineRule="exact"/>
        <w:rPr>
          <w:sz w:val="20"/>
          <w:szCs w:val="20"/>
        </w:rPr>
      </w:pPr>
      <w:r>
        <w:rPr>
          <w:noProof/>
          <w:sz w:val="20"/>
          <w:szCs w:val="20"/>
        </w:rPr>
        <w:drawing>
          <wp:anchor distT="0" distB="0" distL="114300" distR="114300" simplePos="0" relativeHeight="251664896" behindDoc="1" locked="0" layoutInCell="0" allowOverlap="1" wp14:anchorId="2DF08828" wp14:editId="07777777">
            <wp:simplePos x="0" y="0"/>
            <wp:positionH relativeFrom="column">
              <wp:posOffset>-18415</wp:posOffset>
            </wp:positionH>
            <wp:positionV relativeFrom="paragraph">
              <wp:posOffset>-4445</wp:posOffset>
            </wp:positionV>
            <wp:extent cx="7094220" cy="444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5F96A722" w14:textId="77777777" w:rsidR="00DC74FE" w:rsidRDefault="00DC74FE">
      <w:pPr>
        <w:spacing w:line="53" w:lineRule="exact"/>
        <w:rPr>
          <w:sz w:val="20"/>
          <w:szCs w:val="20"/>
        </w:rPr>
      </w:pPr>
    </w:p>
    <w:p w14:paraId="7DB03DEF" w14:textId="77777777" w:rsidR="00DC74FE" w:rsidRDefault="001E4384">
      <w:pPr>
        <w:ind w:left="3"/>
        <w:rPr>
          <w:sz w:val="20"/>
          <w:szCs w:val="20"/>
        </w:rPr>
      </w:pPr>
      <w:r>
        <w:rPr>
          <w:rFonts w:ascii="Arial" w:eastAsia="Arial" w:hAnsi="Arial" w:cs="Arial"/>
          <w:color w:val="231F20"/>
          <w:sz w:val="24"/>
          <w:szCs w:val="24"/>
        </w:rPr>
        <w:t>¿Cómo puedo quejarme?</w:t>
      </w:r>
    </w:p>
    <w:p w14:paraId="5B95CD12" w14:textId="77777777" w:rsidR="00DC74FE" w:rsidRDefault="00DC74FE">
      <w:pPr>
        <w:spacing w:line="112" w:lineRule="exact"/>
        <w:rPr>
          <w:sz w:val="20"/>
          <w:szCs w:val="20"/>
        </w:rPr>
      </w:pPr>
    </w:p>
    <w:p w14:paraId="2BFC981D" w14:textId="77777777" w:rsidR="00DC74FE" w:rsidRDefault="001E4384">
      <w:pPr>
        <w:spacing w:line="222" w:lineRule="auto"/>
        <w:ind w:left="3"/>
        <w:jc w:val="both"/>
        <w:rPr>
          <w:rFonts w:ascii="Arial" w:eastAsia="Arial" w:hAnsi="Arial" w:cs="Arial"/>
          <w:color w:val="231F20"/>
          <w:sz w:val="16"/>
          <w:szCs w:val="16"/>
        </w:rPr>
      </w:pPr>
      <w:r>
        <w:rPr>
          <w:rFonts w:ascii="Arial" w:eastAsia="Arial" w:hAnsi="Arial" w:cs="Arial"/>
          <w:color w:val="231F20"/>
          <w:sz w:val="16"/>
          <w:szCs w:val="16"/>
        </w:rPr>
        <w:t>Si usted es un inversionista en nuestra gama de VF de fondos cotizados (ET</w:t>
      </w:r>
      <w:r>
        <w:rPr>
          <w:rFonts w:ascii="Arial" w:eastAsia="Arial" w:hAnsi="Arial" w:cs="Arial"/>
          <w:color w:val="231F20"/>
          <w:sz w:val="16"/>
          <w:szCs w:val="16"/>
        </w:rPr>
        <w:t>F), puede ser apropiado para usted establecer contacto directamente con el banco, corredor, plataforma de negociación o asesor financiero a través del cual compró sus acciones, particularmente si su queja está relacionada con el servicio. Tenga en cuenta q</w:t>
      </w:r>
      <w:r>
        <w:rPr>
          <w:rFonts w:ascii="Arial" w:eastAsia="Arial" w:hAnsi="Arial" w:cs="Arial"/>
          <w:color w:val="231F20"/>
          <w:sz w:val="16"/>
          <w:szCs w:val="16"/>
        </w:rPr>
        <w:t>ue normalmente proporcionaremos respuestas en inglés. Si por alguna razón tiene problemas para presentar su queja con nosotros, póngase en contacto con Vanguard, 4th Floor, The Walbrook Building, 25 Walbrook, London, EC4N 8AF o European_client_services@van</w:t>
      </w:r>
      <w:r>
        <w:rPr>
          <w:rFonts w:ascii="Arial" w:eastAsia="Arial" w:hAnsi="Arial" w:cs="Arial"/>
          <w:color w:val="231F20"/>
          <w:sz w:val="16"/>
          <w:szCs w:val="16"/>
        </w:rPr>
        <w:t xml:space="preserve">guard.co.uk. Tenga en cuenta también que puede haber mecanismos de recurso colectivo o acuerdos de ombudsman separados disponibles en su país. </w:t>
      </w:r>
      <w:hyperlink r:id="rId25">
        <w:r>
          <w:rPr>
            <w:rFonts w:ascii="Arial" w:eastAsia="Arial" w:hAnsi="Arial" w:cs="Arial"/>
            <w:color w:val="0000FF"/>
            <w:sz w:val="16"/>
            <w:szCs w:val="16"/>
          </w:rPr>
          <w:t>https://global.vanguard.com/</w:t>
        </w:r>
      </w:hyperlink>
    </w:p>
    <w:p w14:paraId="07A9080E" w14:textId="77777777" w:rsidR="00DC74FE" w:rsidRDefault="001E4384">
      <w:pPr>
        <w:spacing w:line="20" w:lineRule="exact"/>
        <w:rPr>
          <w:sz w:val="20"/>
          <w:szCs w:val="20"/>
        </w:rPr>
      </w:pPr>
      <w:r>
        <w:rPr>
          <w:noProof/>
          <w:sz w:val="20"/>
          <w:szCs w:val="20"/>
        </w:rPr>
        <w:drawing>
          <wp:anchor distT="0" distB="0" distL="114300" distR="114300" simplePos="0" relativeHeight="251665920" behindDoc="1" locked="0" layoutInCell="0" allowOverlap="1" wp14:anchorId="6118FD83" wp14:editId="07777777">
            <wp:simplePos x="0" y="0"/>
            <wp:positionH relativeFrom="column">
              <wp:posOffset>-18415</wp:posOffset>
            </wp:positionH>
            <wp:positionV relativeFrom="paragraph">
              <wp:posOffset>-21590</wp:posOffset>
            </wp:positionV>
            <wp:extent cx="7094220" cy="444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srcRect/>
                    <a:stretch>
                      <a:fillRect/>
                    </a:stretch>
                  </pic:blipFill>
                  <pic:spPr bwMode="auto">
                    <a:xfrm>
                      <a:off x="0" y="0"/>
                      <a:ext cx="7094220" cy="44450"/>
                    </a:xfrm>
                    <a:prstGeom prst="rect">
                      <a:avLst/>
                    </a:prstGeom>
                    <a:noFill/>
                  </pic:spPr>
                </pic:pic>
              </a:graphicData>
            </a:graphic>
          </wp:anchor>
        </w:drawing>
      </w:r>
    </w:p>
    <w:p w14:paraId="5220BBB2" w14:textId="77777777" w:rsidR="00DC74FE" w:rsidRDefault="00DC74FE">
      <w:pPr>
        <w:spacing w:line="26" w:lineRule="exact"/>
        <w:rPr>
          <w:sz w:val="20"/>
          <w:szCs w:val="20"/>
        </w:rPr>
      </w:pPr>
    </w:p>
    <w:p w14:paraId="4384A079" w14:textId="77777777" w:rsidR="00DC74FE" w:rsidRDefault="001E4384">
      <w:pPr>
        <w:ind w:left="3"/>
        <w:rPr>
          <w:sz w:val="20"/>
          <w:szCs w:val="20"/>
        </w:rPr>
      </w:pPr>
      <w:r>
        <w:rPr>
          <w:rFonts w:ascii="Arial" w:eastAsia="Arial" w:hAnsi="Arial" w:cs="Arial"/>
          <w:color w:val="231F20"/>
          <w:sz w:val="24"/>
          <w:szCs w:val="24"/>
        </w:rPr>
        <w:t>Otra información pertinente</w:t>
      </w:r>
    </w:p>
    <w:p w14:paraId="13CB595B" w14:textId="77777777" w:rsidR="00DC74FE" w:rsidRDefault="00DC74FE">
      <w:pPr>
        <w:spacing w:line="112" w:lineRule="exact"/>
        <w:rPr>
          <w:sz w:val="20"/>
          <w:szCs w:val="20"/>
        </w:rPr>
      </w:pPr>
    </w:p>
    <w:p w14:paraId="03CD36DA" w14:textId="77777777" w:rsidR="00DC74FE" w:rsidRDefault="001E4384">
      <w:pPr>
        <w:ind w:left="3"/>
        <w:rPr>
          <w:sz w:val="20"/>
          <w:szCs w:val="20"/>
        </w:rPr>
      </w:pPr>
      <w:r>
        <w:rPr>
          <w:rFonts w:ascii="Arial" w:eastAsia="Arial" w:hAnsi="Arial" w:cs="Arial"/>
          <w:color w:val="231F20"/>
          <w:sz w:val="16"/>
          <w:szCs w:val="16"/>
        </w:rPr>
        <w:t>Puede encontrar información relacionada con el rendimiento anterior del Fondo durante los últimos 3 años en:</w:t>
      </w:r>
    </w:p>
    <w:p w14:paraId="6D9C8D39" w14:textId="77777777" w:rsidR="00DC74FE" w:rsidRDefault="00DC74FE">
      <w:pPr>
        <w:spacing w:line="31" w:lineRule="exact"/>
        <w:rPr>
          <w:sz w:val="20"/>
          <w:szCs w:val="20"/>
        </w:rPr>
      </w:pPr>
    </w:p>
    <w:p w14:paraId="7FF8864F" w14:textId="77777777" w:rsidR="00DC74FE" w:rsidRDefault="001E4384">
      <w:pPr>
        <w:numPr>
          <w:ilvl w:val="0"/>
          <w:numId w:val="4"/>
        </w:numPr>
        <w:tabs>
          <w:tab w:val="left" w:pos="103"/>
        </w:tabs>
        <w:ind w:left="103" w:hanging="103"/>
        <w:rPr>
          <w:rFonts w:ascii="Arial" w:eastAsia="Arial" w:hAnsi="Arial" w:cs="Arial"/>
          <w:color w:val="231F20"/>
          <w:sz w:val="16"/>
          <w:szCs w:val="16"/>
        </w:rPr>
      </w:pPr>
      <w:r>
        <w:rPr>
          <w:rFonts w:ascii="Arial" w:eastAsia="Arial" w:hAnsi="Arial" w:cs="Arial"/>
          <w:color w:val="231F20"/>
          <w:sz w:val="16"/>
          <w:szCs w:val="16"/>
        </w:rPr>
        <w:t>https://docs.data2report.lu/documents/KIDPP/Vanguard_KIDPP_annex_en_IE00BFMXXD54.pdf.</w:t>
      </w:r>
    </w:p>
    <w:p w14:paraId="675E05EE" w14:textId="77777777" w:rsidR="00DC74FE" w:rsidRDefault="00DC74FE">
      <w:pPr>
        <w:spacing w:line="8" w:lineRule="exact"/>
        <w:rPr>
          <w:rFonts w:ascii="Arial" w:eastAsia="Arial" w:hAnsi="Arial" w:cs="Arial"/>
          <w:color w:val="231F20"/>
          <w:sz w:val="16"/>
          <w:szCs w:val="16"/>
        </w:rPr>
      </w:pPr>
    </w:p>
    <w:p w14:paraId="451EC7AA" w14:textId="77777777" w:rsidR="00DC74FE" w:rsidRDefault="001E4384">
      <w:pPr>
        <w:numPr>
          <w:ilvl w:val="0"/>
          <w:numId w:val="4"/>
        </w:numPr>
        <w:tabs>
          <w:tab w:val="left" w:pos="103"/>
        </w:tabs>
        <w:ind w:left="103" w:hanging="103"/>
        <w:rPr>
          <w:rFonts w:ascii="Arial" w:eastAsia="Arial" w:hAnsi="Arial" w:cs="Arial"/>
          <w:color w:val="231F20"/>
          <w:sz w:val="16"/>
          <w:szCs w:val="16"/>
        </w:rPr>
      </w:pPr>
      <w:r>
        <w:rPr>
          <w:rFonts w:ascii="Arial" w:eastAsia="Arial" w:hAnsi="Arial" w:cs="Arial"/>
          <w:color w:val="231F20"/>
          <w:sz w:val="16"/>
          <w:szCs w:val="16"/>
        </w:rPr>
        <w:t>https://docs.data2report.lu/documents/KIDPS/Vanguard_KIDPS_annex_en_IE00BFMXXD54.pdf.</w:t>
      </w:r>
    </w:p>
    <w:p w14:paraId="2FC17F8B" w14:textId="77777777" w:rsidR="00DC74FE" w:rsidRDefault="00DC74FE">
      <w:pPr>
        <w:spacing w:line="27" w:lineRule="exact"/>
        <w:rPr>
          <w:sz w:val="20"/>
          <w:szCs w:val="20"/>
        </w:rPr>
      </w:pPr>
    </w:p>
    <w:p w14:paraId="4A003D12" w14:textId="77777777" w:rsidR="00DC74FE" w:rsidRDefault="001E4384">
      <w:pPr>
        <w:spacing w:line="220" w:lineRule="auto"/>
        <w:ind w:left="3"/>
        <w:jc w:val="both"/>
        <w:rPr>
          <w:rFonts w:ascii="Arial" w:eastAsia="Arial" w:hAnsi="Arial" w:cs="Arial"/>
          <w:color w:val="231F20"/>
          <w:sz w:val="16"/>
          <w:szCs w:val="16"/>
        </w:rPr>
      </w:pPr>
      <w:r>
        <w:rPr>
          <w:rFonts w:ascii="Arial" w:eastAsia="Arial" w:hAnsi="Arial" w:cs="Arial"/>
          <w:color w:val="231F20"/>
          <w:sz w:val="16"/>
          <w:szCs w:val="16"/>
        </w:rPr>
        <w:t xml:space="preserve">Los detalles de la política de remuneración de la VGIL pueden consultarse en </w:t>
      </w:r>
      <w:hyperlink r:id="rId26">
        <w:r>
          <w:rPr>
            <w:rFonts w:ascii="Arial" w:eastAsia="Arial" w:hAnsi="Arial" w:cs="Arial"/>
            <w:color w:val="0000FF"/>
            <w:sz w:val="16"/>
            <w:szCs w:val="16"/>
          </w:rPr>
          <w:t>https://www.ie.vanguard/content/dam/intl/europe/documents/ch/en/ucits-v-remuneration-policy.pdf</w:t>
        </w:r>
      </w:hyperlink>
      <w:r>
        <w:rPr>
          <w:rFonts w:ascii="Arial" w:eastAsia="Arial" w:hAnsi="Arial" w:cs="Arial"/>
          <w:color w:val="231F20"/>
          <w:sz w:val="16"/>
          <w:szCs w:val="16"/>
        </w:rPr>
        <w:t>, que incluyen: a</w:t>
      </w:r>
      <w:r>
        <w:rPr>
          <w:rFonts w:ascii="Arial" w:eastAsia="Arial" w:hAnsi="Arial" w:cs="Arial"/>
          <w:color w:val="231F20"/>
          <w:sz w:val="16"/>
          <w:szCs w:val="16"/>
        </w:rPr>
        <w:t xml:space="preserve">) una descripción de cómo se calculan la remuneración y las prestaciones; y b) la identidad de las personas responsables de la concesión de la remuneración y las prestaciones. Se puede obtener una copia en papel de estos detalles, sin cargo, a petición de </w:t>
      </w:r>
      <w:r>
        <w:rPr>
          <w:rFonts w:ascii="Arial" w:eastAsia="Arial" w:hAnsi="Arial" w:cs="Arial"/>
          <w:color w:val="231F20"/>
          <w:sz w:val="16"/>
          <w:szCs w:val="16"/>
        </w:rPr>
        <w:t>VGIL en 70 Sir John Rogerson's Quay, Dublín 2, Irlanda. Responsabilidad: La VGIL podrá ser considerada responsable únicamente sobre la base de cualquier declaración contenida en este documento que sea engañosa, inexacta o incoherente con las partes pertine</w:t>
      </w:r>
      <w:r>
        <w:rPr>
          <w:rFonts w:ascii="Arial" w:eastAsia="Arial" w:hAnsi="Arial" w:cs="Arial"/>
          <w:color w:val="231F20"/>
          <w:sz w:val="16"/>
          <w:szCs w:val="16"/>
        </w:rPr>
        <w:t>ntes del Folleto. Impuestos: VF está sujeta a las leyes fiscales de Irlanda. Dependiendo de su país de residencia, esto puede tener un impacto en su posición fiscal personal. Se recomienda que consulte a su asesor fiscal profesional.</w:t>
      </w:r>
    </w:p>
    <w:sectPr w:rsidR="00DC74FE">
      <w:pgSz w:w="11900" w:h="16838"/>
      <w:pgMar w:top="589" w:right="406" w:bottom="1440" w:left="397" w:header="0" w:footer="0" w:gutter="0"/>
      <w:cols w:space="720" w:equalWidth="0">
        <w:col w:w="1110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7374"/>
    <w:multiLevelType w:val="hybridMultilevel"/>
    <w:tmpl w:val="FFFFFFFF"/>
    <w:lvl w:ilvl="0" w:tplc="816A383C">
      <w:start w:val="1"/>
      <w:numFmt w:val="bullet"/>
      <w:lvlText w:val="-"/>
      <w:lvlJc w:val="left"/>
    </w:lvl>
    <w:lvl w:ilvl="1" w:tplc="B136EFE6">
      <w:numFmt w:val="decimal"/>
      <w:lvlText w:val=""/>
      <w:lvlJc w:val="left"/>
    </w:lvl>
    <w:lvl w:ilvl="2" w:tplc="D480E168">
      <w:numFmt w:val="decimal"/>
      <w:lvlText w:val=""/>
      <w:lvlJc w:val="left"/>
    </w:lvl>
    <w:lvl w:ilvl="3" w:tplc="D6A65E54">
      <w:numFmt w:val="decimal"/>
      <w:lvlText w:val=""/>
      <w:lvlJc w:val="left"/>
    </w:lvl>
    <w:lvl w:ilvl="4" w:tplc="1EFE4A90">
      <w:numFmt w:val="decimal"/>
      <w:lvlText w:val=""/>
      <w:lvlJc w:val="left"/>
    </w:lvl>
    <w:lvl w:ilvl="5" w:tplc="0EA2CEF8">
      <w:numFmt w:val="decimal"/>
      <w:lvlText w:val=""/>
      <w:lvlJc w:val="left"/>
    </w:lvl>
    <w:lvl w:ilvl="6" w:tplc="C040C9A8">
      <w:numFmt w:val="decimal"/>
      <w:lvlText w:val=""/>
      <w:lvlJc w:val="left"/>
    </w:lvl>
    <w:lvl w:ilvl="7" w:tplc="EA00C6AC">
      <w:numFmt w:val="decimal"/>
      <w:lvlText w:val=""/>
      <w:lvlJc w:val="left"/>
    </w:lvl>
    <w:lvl w:ilvl="8" w:tplc="58B48CEA">
      <w:numFmt w:val="decimal"/>
      <w:lvlText w:val=""/>
      <w:lvlJc w:val="left"/>
    </w:lvl>
  </w:abstractNum>
  <w:abstractNum w:abstractNumId="1" w15:restartNumberingAfterBreak="0">
    <w:nsid w:val="057F366D"/>
    <w:multiLevelType w:val="hybridMultilevel"/>
    <w:tmpl w:val="FFFFFFFF"/>
    <w:lvl w:ilvl="0" w:tplc="DB24881E">
      <w:start w:val="1"/>
      <w:numFmt w:val="bullet"/>
      <w:lvlText w:val="(*)"/>
      <w:lvlJc w:val="left"/>
    </w:lvl>
    <w:lvl w:ilvl="1" w:tplc="77D0D28E">
      <w:numFmt w:val="decimal"/>
      <w:lvlText w:val=""/>
      <w:lvlJc w:val="left"/>
    </w:lvl>
    <w:lvl w:ilvl="2" w:tplc="35766762">
      <w:numFmt w:val="decimal"/>
      <w:lvlText w:val=""/>
      <w:lvlJc w:val="left"/>
    </w:lvl>
    <w:lvl w:ilvl="3" w:tplc="9822B62E">
      <w:numFmt w:val="decimal"/>
      <w:lvlText w:val=""/>
      <w:lvlJc w:val="left"/>
    </w:lvl>
    <w:lvl w:ilvl="4" w:tplc="99C6E65C">
      <w:numFmt w:val="decimal"/>
      <w:lvlText w:val=""/>
      <w:lvlJc w:val="left"/>
    </w:lvl>
    <w:lvl w:ilvl="5" w:tplc="DC94B1C4">
      <w:numFmt w:val="decimal"/>
      <w:lvlText w:val=""/>
      <w:lvlJc w:val="left"/>
    </w:lvl>
    <w:lvl w:ilvl="6" w:tplc="33F240A2">
      <w:numFmt w:val="decimal"/>
      <w:lvlText w:val=""/>
      <w:lvlJc w:val="left"/>
    </w:lvl>
    <w:lvl w:ilvl="7" w:tplc="E5A80A74">
      <w:numFmt w:val="decimal"/>
      <w:lvlText w:val=""/>
      <w:lvlJc w:val="left"/>
    </w:lvl>
    <w:lvl w:ilvl="8" w:tplc="4E9E52D8">
      <w:numFmt w:val="decimal"/>
      <w:lvlText w:val=""/>
      <w:lvlJc w:val="left"/>
    </w:lvl>
  </w:abstractNum>
  <w:abstractNum w:abstractNumId="2" w15:restartNumberingAfterBreak="0">
    <w:nsid w:val="0859E5FF"/>
    <w:multiLevelType w:val="hybridMultilevel"/>
    <w:tmpl w:val="FFFFFFFF"/>
    <w:lvl w:ilvl="0" w:tplc="EA4E73CC">
      <w:start w:val="1"/>
      <w:numFmt w:val="bullet"/>
      <w:lvlText w:val="-"/>
      <w:lvlJc w:val="left"/>
    </w:lvl>
    <w:lvl w:ilvl="1" w:tplc="F5041EB0">
      <w:numFmt w:val="decimal"/>
      <w:lvlText w:val=""/>
      <w:lvlJc w:val="left"/>
    </w:lvl>
    <w:lvl w:ilvl="2" w:tplc="C1DCBD38">
      <w:numFmt w:val="decimal"/>
      <w:lvlText w:val=""/>
      <w:lvlJc w:val="left"/>
    </w:lvl>
    <w:lvl w:ilvl="3" w:tplc="82A44BFE">
      <w:numFmt w:val="decimal"/>
      <w:lvlText w:val=""/>
      <w:lvlJc w:val="left"/>
    </w:lvl>
    <w:lvl w:ilvl="4" w:tplc="DE5CFF8A">
      <w:numFmt w:val="decimal"/>
      <w:lvlText w:val=""/>
      <w:lvlJc w:val="left"/>
    </w:lvl>
    <w:lvl w:ilvl="5" w:tplc="D40A0D8E">
      <w:numFmt w:val="decimal"/>
      <w:lvlText w:val=""/>
      <w:lvlJc w:val="left"/>
    </w:lvl>
    <w:lvl w:ilvl="6" w:tplc="5A8E843E">
      <w:numFmt w:val="decimal"/>
      <w:lvlText w:val=""/>
      <w:lvlJc w:val="left"/>
    </w:lvl>
    <w:lvl w:ilvl="7" w:tplc="B1521D74">
      <w:numFmt w:val="decimal"/>
      <w:lvlText w:val=""/>
      <w:lvlJc w:val="left"/>
    </w:lvl>
    <w:lvl w:ilvl="8" w:tplc="414EA442">
      <w:numFmt w:val="decimal"/>
      <w:lvlText w:val=""/>
      <w:lvlJc w:val="left"/>
    </w:lvl>
  </w:abstractNum>
  <w:abstractNum w:abstractNumId="3" w15:restartNumberingAfterBreak="0">
    <w:nsid w:val="26209F8C"/>
    <w:multiLevelType w:val="hybridMultilevel"/>
    <w:tmpl w:val="FFFFFFFF"/>
    <w:lvl w:ilvl="0" w:tplc="945E6442">
      <w:start w:val="1"/>
      <w:numFmt w:val="decimal"/>
      <w:lvlText w:val="%1."/>
      <w:lvlJc w:val="left"/>
    </w:lvl>
    <w:lvl w:ilvl="1" w:tplc="C8C01C54">
      <w:numFmt w:val="decimal"/>
      <w:lvlText w:val=""/>
      <w:lvlJc w:val="left"/>
    </w:lvl>
    <w:lvl w:ilvl="2" w:tplc="323A66F2">
      <w:numFmt w:val="decimal"/>
      <w:lvlText w:val=""/>
      <w:lvlJc w:val="left"/>
    </w:lvl>
    <w:lvl w:ilvl="3" w:tplc="BD3E69E6">
      <w:numFmt w:val="decimal"/>
      <w:lvlText w:val=""/>
      <w:lvlJc w:val="left"/>
    </w:lvl>
    <w:lvl w:ilvl="4" w:tplc="2F8C74A6">
      <w:numFmt w:val="decimal"/>
      <w:lvlText w:val=""/>
      <w:lvlJc w:val="left"/>
    </w:lvl>
    <w:lvl w:ilvl="5" w:tplc="A85A2342">
      <w:numFmt w:val="decimal"/>
      <w:lvlText w:val=""/>
      <w:lvlJc w:val="left"/>
    </w:lvl>
    <w:lvl w:ilvl="6" w:tplc="23FE3DC2">
      <w:numFmt w:val="decimal"/>
      <w:lvlText w:val=""/>
      <w:lvlJc w:val="left"/>
    </w:lvl>
    <w:lvl w:ilvl="7" w:tplc="A572BA9A">
      <w:numFmt w:val="decimal"/>
      <w:lvlText w:val=""/>
      <w:lvlJc w:val="left"/>
    </w:lvl>
    <w:lvl w:ilvl="8" w:tplc="33C69CE2">
      <w:numFmt w:val="decimal"/>
      <w:lvlText w:val=""/>
      <w:lvlJc w:val="left"/>
    </w:lvl>
  </w:abstractNum>
  <w:num w:numId="1" w16cid:durableId="651301366">
    <w:abstractNumId w:val="3"/>
  </w:num>
  <w:num w:numId="2" w16cid:durableId="1285312676">
    <w:abstractNumId w:val="2"/>
  </w:num>
  <w:num w:numId="3" w16cid:durableId="441463031">
    <w:abstractNumId w:val="1"/>
  </w:num>
  <w:num w:numId="4" w16cid:durableId="515465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4FE"/>
    <w:rsid w:val="001E4384"/>
    <w:rsid w:val="00DC74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DA956A5"/>
  <w15:docId w15:val="{1F86111D-0D22-49E4-805C-8ED65297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vanguard.com" TargetMode="External"/><Relationship Id="rId13" Type="http://schemas.openxmlformats.org/officeDocument/2006/relationships/hyperlink" Target="https://global.vanguard.com/portal/site/portal/ucits-documentation" TargetMode="External"/><Relationship Id="rId18" Type="http://schemas.openxmlformats.org/officeDocument/2006/relationships/image" Target="media/image4.png"/><Relationship Id="rId26" Type="http://schemas.openxmlformats.org/officeDocument/2006/relationships/hyperlink" Target="https://www.ie.vanguard/content/dam/intl/europe/documents/ch/en/ucits-v-remuneration-policy.pdf" TargetMode="Externa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yperlink" Target="https://global.vanguard.com" TargetMode="External"/><Relationship Id="rId12" Type="http://schemas.openxmlformats.org/officeDocument/2006/relationships/hyperlink" Target="https://global.vanguard.com/portal/site/portal/ucits-documentation" TargetMode="External"/><Relationship Id="rId17" Type="http://schemas.openxmlformats.org/officeDocument/2006/relationships/image" Target="media/image3.png"/><Relationship Id="rId25" Type="http://schemas.openxmlformats.org/officeDocument/2006/relationships/hyperlink" Target="https://global.vanguard.com/" TargetMode="External"/><Relationship Id="rId2" Type="http://schemas.openxmlformats.org/officeDocument/2006/relationships/styles" Target="styles.xml"/><Relationship Id="rId16" Type="http://schemas.openxmlformats.org/officeDocument/2006/relationships/hyperlink" Target="https://global.vanguard.com/portal/site/portal/ucits-documentation"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global.vanguard.com" TargetMode="External"/><Relationship Id="rId24" Type="http://schemas.openxmlformats.org/officeDocument/2006/relationships/image" Target="media/image10.png"/><Relationship Id="rId5" Type="http://schemas.openxmlformats.org/officeDocument/2006/relationships/image" Target="media/image1.jpeg"/><Relationship Id="rId15" Type="http://schemas.openxmlformats.org/officeDocument/2006/relationships/hyperlink" Target="https://global.vanguard.com/portal/site/portal/ucits-documentation" TargetMode="Externa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hyperlink" Target="https://global.vanguard.com"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global.vanguard.com" TargetMode="External"/><Relationship Id="rId14" Type="http://schemas.openxmlformats.org/officeDocument/2006/relationships/hyperlink" Target="https://global.vanguard.com/portal/site/portal/ucits-documentation" TargetMode="External"/><Relationship Id="rId22" Type="http://schemas.openxmlformats.org/officeDocument/2006/relationships/image" Target="media/image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2261</Words>
  <Characters>12436</Characters>
  <Application>Microsoft Office Word</Application>
  <DocSecurity>0</DocSecurity>
  <Lines>103</Lines>
  <Paragraphs>29</Paragraphs>
  <ScaleCrop>false</ScaleCrop>
  <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2023-06-14T15:02:00Z</dcterms:created>
  <dcterms:modified xsi:type="dcterms:W3CDTF">2023-06-14T15:02:00Z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2023-06-14T15:02:00Z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27b46d58-0e1c-45e2-b18c-2febb3b0d774</vt:lpwstr>
  </property>
  <property fmtid="{D5CDD505-2E9C-101B-9397-08002B2CF9AE}" pid="8" name="MSIP_Label_defa4170-0d19-0005-0001-bc88714345d2_ContentBits">
    <vt:lpwstr>0</vt:lpwstr>
  </property>
</Properties>
</file>