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37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396240</wp:posOffset>
            </wp:positionH>
            <wp:positionV relativeFrom="page">
              <wp:posOffset>360045</wp:posOffset>
            </wp:positionV>
            <wp:extent cx="1419225" cy="476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KLUCZOWE INFORMACJE DLA INWESTORÓW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740" w:right="160"/>
        <w:spacing w:after="0" w:line="29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Zachęcamy do zapoznania się z nią, aby móc podjąć świadomą decyzję o ewentualnej inwestycji.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22"/>
        </w:trPr>
        <w:tc>
          <w:tcPr>
            <w:tcW w:w="5340" w:type="dxa"/>
            <w:vAlign w:val="bottom"/>
            <w:tcBorders>
              <w:top w:val="single" w:sz="8" w:color="auto"/>
            </w:tcBorders>
            <w:shd w:val="clear" w:color="auto" w:fill="000000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color w:val="FFFFFF"/>
                <w:w w:val="91"/>
              </w:rPr>
              <w:t xml:space="preserve">iShares STOXX Europe 600 Oil &amp; Gas UCITS</w:t>
            </w:r>
          </w:p>
        </w:tc>
        <w:tc>
          <w:tcPr>
            <w:tcW w:w="532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color w:val="auto"/>
              </w:rPr>
              <w:t xml:space="preserve">Fundusz typu ETF (ang. Exchange Traded Fund)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5340" w:type="dxa"/>
            <w:vAlign w:val="bottom"/>
            <w:vMerge w:val="restart"/>
            <w:shd w:val="clear" w:color="auto" w:fill="000000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color w:val="FFFFFF"/>
              </w:rPr>
              <w:t xml:space="preserve">ETF (DE)</w:t>
            </w:r>
          </w:p>
        </w:tc>
        <w:tc>
          <w:tcPr>
            <w:tcW w:w="1760" w:type="dxa"/>
            <w:vAlign w:val="bottom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A0H08M:</w:t>
            </w:r>
          </w:p>
        </w:tc>
        <w:tc>
          <w:tcPr>
            <w:tcW w:w="358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5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ISIN: DE000A0H08M3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5340" w:type="dxa"/>
            <w:vAlign w:val="bottom"/>
            <w:vMerge w:val="continue"/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3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  <w:w w:val="95"/>
              </w:rPr>
              <w:t xml:space="preserve">Spółka zarządzająca: BlackRock Asset Management Deutschland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5340" w:type="dxa"/>
            <w:vAlign w:val="bottom"/>
            <w:vMerge w:val="restart"/>
            <w:shd w:val="clear" w:color="auto" w:fill="000000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FFFFFF"/>
                <w:w w:val="96"/>
              </w:rPr>
              <w:t xml:space="preserve">Subfundusz akcji iShares (DE) I Investmentaktiengesellschaft mit</w:t>
            </w:r>
          </w:p>
        </w:tc>
        <w:tc>
          <w:tcPr>
            <w:tcW w:w="53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5340" w:type="dxa"/>
            <w:vAlign w:val="bottom"/>
            <w:vMerge w:val="continue"/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AG</w:t>
            </w:r>
          </w:p>
        </w:tc>
        <w:tc>
          <w:tcPr>
            <w:tcW w:w="3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7"/>
        </w:trPr>
        <w:tc>
          <w:tcPr>
            <w:tcW w:w="53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FFFFFF"/>
              </w:rPr>
              <w:t xml:space="preserve">Teilgesellschaftsvermögen</w:t>
            </w: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"/>
        </w:trPr>
        <w:tc>
          <w:tcPr>
            <w:tcW w:w="53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6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Subfundusz iShares STOXX Europe 600 Oil &amp; Gas UCITS ETF (DE) ("Fundusz") jest pasywnie zarządzanym giełdowym funduszem inwestycyjnym (ETF), którego celem jest jak najdokładniejsze śledzenie wyników STOXX® Europe 600 Oil &amp; Gas (Price Index).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tym względzie ma on na celu odtworzenie wskaźnika referencyjnego (Index).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24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mierzy wyniki europejskiego sektora ropy i gazu zgodnie z definicją wskaźnika ICB (Industry Classification Benchmark) i jest podzbiorem indeksu STOXX® Europe 600, który obejmuje 600 największych zapasów w 18 krajach europejskich.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kwartale indeks przywraca równowagę składnikami ważonymi kapitalizacją w wolnym obrocie i ograniczonymi w celu utrzymania zgodności ze standardami dywersyfikacji UCITS.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Kapitalizacja w wolnym obrocie jest wartością rynkową łatwo dostępnych akcji spółki.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inwestuje głównie w akcje, aby osiągnąć cel inwestycyjny.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Odsetek aktywów Funduszu, który odpowiada wadze Indeksu (procent duplikacji), wynosi co najmniej 95 % aktywów Funduszu.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36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Nie jest intencją Zarządzającego Inwestycjami, aby lewarować fundusz.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jednak od czasu do czasu generować minimalną dźwignię finansową, na przykład jeśli wykorzystuje finansowe instrumenty pochodne (BIZ) do efektywnego zarządzania portfelem.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Zalecenie: Fundusz ten jest odpowiedni dla inwestycji średnio- i długoterminowych, chociaż może być również odpowiedni dla krótkoterminowego zaangażowania w indeks.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Jednostki Funduszu są jednostkami dystrybucyjnymi.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Przychody z inwestycji Funduszu będą wypłacane co najmniej raz w roku w formie dywidendy.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-84455</wp:posOffset>
            </wp:positionV>
            <wp:extent cx="45720" cy="774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Jednostki funduszu są denominowane w euro.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-84455</wp:posOffset>
            </wp:positionV>
            <wp:extent cx="45720" cy="774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 w:right="60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Jednostki są notowane na jednej lub kilku Giełdach Papierów Wartościowych (Giełdach Papierów Wartościowych).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mogą kupować lub sprzedawać swoje jednostki codziennie w godzinach pracy za pośrednictwem pośrednika na takiej giełdzie (takich giełdach).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-260985</wp:posOffset>
            </wp:positionV>
            <wp:extent cx="45720" cy="774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40" w:right="180"/>
        <w:spacing w:after="0" w:line="3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Więcej informacji na temat ryzyka można znaleźć w prospekcie funduszu w punkcie "Ostrzeżenia przed ryzykiem", który jest dostępny na stronie www.ishares.com (wybierz swój kraj i przejdź do dokumentów/informacji prawnych).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Profil ryzyka i zysku</w:t>
      </w:r>
    </w:p>
    <w:p>
      <w:pPr>
        <w:sectPr>
          <w:pgSz w:w="11900" w:h="16838" w:orient="portrait"/>
          <w:cols w:equalWidth="0" w:num="1">
            <w:col w:w="10660"/>
          </w:cols>
          <w:pgMar w:left="620" w:top="573" w:right="626" w:bottom="0" w:gutter="0" w:footer="0" w:header="0"/>
        </w:sectPr>
      </w:pP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Niższe ryzyko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Wyższe ryzyko</w:t>
            </w:r>
          </w:p>
        </w:tc>
      </w:tr>
      <w:tr>
        <w:trPr>
          <w:trHeight w:val="207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Zazwyczaj niższe nagrody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Zwykle wyższe nagrody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12700</wp:posOffset>
            </wp:positionV>
            <wp:extent cx="3258185" cy="3346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393065</wp:posOffset>
            </wp:positionV>
            <wp:extent cx="3329940" cy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-323215</wp:posOffset>
            </wp:positionV>
            <wp:extent cx="6767830" cy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Wskaźnik ten opiera się na danych historycznych i może nie być wiarygodnym wskaźnikiem przyszłego profilu ryzyka Funduszu.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-261620</wp:posOffset>
            </wp:positionV>
            <wp:extent cx="45720" cy="774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Podana kategoria ryzyka nie jest gwarantowana i może się zmieniać w czasie.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-83820</wp:posOffset>
            </wp:positionV>
            <wp:extent cx="45720" cy="774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Najniższa kategoria nie oznacza braku ryzyka.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-84455</wp:posOffset>
            </wp:positionV>
            <wp:extent cx="45720" cy="7747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Fundusz posiada ocenę siódmą ze względu na charakter inwestycji, które obejmują ryzyka wymienione poniżej.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Czynniki te mogą mieć wpływ na wartość inwestycji Funduszu lub narażać Fundusz na straty.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-427355</wp:posOffset>
            </wp:positionV>
            <wp:extent cx="45720" cy="774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80" w:hanging="159"/>
        <w:spacing w:after="0" w:line="208" w:lineRule="auto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inwestycyjne koncentruje się w określonych sektorach, krajach, walutach lub przedsiębiorstwach.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Oznacza to, że Fundusz jest bardziej wrażliwy na wszelkie lokalne wydarzenia gospodarcze, rynkowe, polityczne, związane ze zrównoważonym rozwojem lub regulacyjne.</w:t>
      </w:r>
    </w:p>
    <w:p>
      <w:pPr>
        <w:spacing w:after="0" w:line="28" w:lineRule="exact"/>
        <w:rPr>
          <w:rFonts w:ascii="Arial" w:cs="Arial" w:eastAsia="Arial" w:hAnsi="Arial"/>
          <w:sz w:val="37"/>
          <w:szCs w:val="37"/>
          <w:color w:val="auto"/>
          <w:vertAlign w:val="subscript"/>
        </w:rPr>
      </w:pPr>
    </w:p>
    <w:p>
      <w:pPr xmlns:w="http://schemas.openxmlformats.org/wordprocessingml/2006/main">
        <w:ind w:left="160" w:right="60" w:hanging="159"/>
        <w:spacing w:after="0" w:line="208" w:lineRule="auto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Na wartość akcji i papierów wartościowych o charakterze udziałowym mogą mieć wpływ codzienne zmiany na rynku akcji.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Wśród innych wpływowych czynników znajdują się wiadomości polityczne, gospodarcze, wyniki przedsiębiorstw i ważne wydarzenia korporacyjne.</w:t>
      </w:r>
    </w:p>
    <w:p>
      <w:pPr>
        <w:spacing w:after="0" w:line="28" w:lineRule="exact"/>
        <w:rPr>
          <w:rFonts w:ascii="Arial" w:cs="Arial" w:eastAsia="Arial" w:hAnsi="Arial"/>
          <w:sz w:val="37"/>
          <w:szCs w:val="37"/>
          <w:color w:val="auto"/>
          <w:vertAlign w:val="subscript"/>
        </w:rPr>
      </w:pPr>
    </w:p>
    <w:p>
      <w:pPr xmlns:w="http://schemas.openxmlformats.org/wordprocessingml/2006/main">
        <w:ind w:left="160" w:right="60" w:hanging="159"/>
        <w:spacing w:after="0" w:line="193" w:lineRule="auto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33"/>
          <w:szCs w:val="33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Inwestycje w papiery wartościowe emitowane w sektorze energetycznym podlegają problemom związanym ze środowiskiem lub zrównoważonym rozwojem, podatkom, regulacjom rządowym, zmianom cen i dostaw.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Poszczególne rodzaje ryzyka nieodpowiednio ujęte we wskaźniku ryzyka obejmują: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-102235</wp:posOffset>
            </wp:positionH>
            <wp:positionV relativeFrom="paragraph">
              <wp:posOffset>-84455</wp:posOffset>
            </wp:positionV>
            <wp:extent cx="45720" cy="774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160" w:hanging="159"/>
        <w:spacing w:after="0" w:line="20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kontrahenta: Niewypłacalność instytucji świadczących usługi, takie jak przechowywanie aktywów lub działających jako kontrahenci instrumentów pochodnych lub innych instrumentów, może narazić Fundusz na straty finansowe.</w:t>
      </w:r>
    </w:p>
    <w:p>
      <w:pPr>
        <w:spacing w:after="0" w:line="23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200" w:space="380"/>
            <w:col w:w="5080"/>
          </w:cols>
          <w:pgMar w:left="620" w:top="573" w:right="62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Wskaźnik referencyjny stanowi własność intelektualną dostawcy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Fundusz nie jest sponsorowany ani wspierany przez dostawcę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Pełne wyłączenie odpowiedzialności znajduje się w prospekcie emisyjnym Funduszu.</w:t>
      </w:r>
    </w:p>
    <w:p>
      <w:pPr>
        <w:sectPr>
          <w:pgSz w:w="11900" w:h="16838" w:orient="portrait"/>
          <w:cols w:equalWidth="0" w:num="1">
            <w:col w:w="10660"/>
          </w:cols>
          <w:pgMar w:left="620" w:top="573" w:right="62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3561715</wp:posOffset>
            </wp:positionH>
            <wp:positionV relativeFrom="paragraph">
              <wp:posOffset>97155</wp:posOffset>
            </wp:positionV>
            <wp:extent cx="3208020" cy="17272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</w:sectPr>
      </w:pPr>
    </w:p>
    <w:p>
      <w:pPr>
        <w:spacing w:after="0" w:line="1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240"/>
        <w:spacing w:after="0" w:line="31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te są wykorzystywane na pokrycie kosztów funkcjonowania Funduszu, w tym kosztów jego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 zmniejszają potencjalny wzrost Państwa inwestycji.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 w:line="30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Inwestorzy prowadzący transakcje na giełdach będą ponosić opłaty pobierane przez swoich maklerów giełdowych.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Takie opłaty są publicznie dostępne na giełdach, na których jednostki są notowane i znajdują się w obrocie, lub można je uzyskać od maklerów giełdowych.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przypadku transakcji zawieranych przez inwestorów w jednostkach bezpośrednio z Funduszem lub Spółką Zarządzającą Funduszu, opłata wstępna wynosi do 2%, a opłata za rezygnację wynosi do 1%.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620"/>
        <w:spacing w:after="0" w:line="3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* Uprawnieni uczestnicy mający bezpośredni kontakt z Funduszem lub Spółką Zarządzającą (w zależności od przypadku) poniosą koszty transakcji.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120"/>
        <w:spacing w:after="0" w:line="3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Bieżąca kwota opłat opiera się na kosztach za okres dwunastu miesięcy kończący się 31 grudnia 2022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Liczba ta może się zmieniać z roku na rok.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Pozycja ta nie obejmuje kosztów związanych z handlem portfelem, z wyjątkiem kosztów poniesionych na rzecz powiernika oraz wszelkich opłat za wejście/wyjście uiszczonych na rzecz bazowego systemu zbiorowego inwestowania (jeżeli takie opłaty istnieją).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Jednorazowe opłaty pobierane przed lub po dokonaniu inwestycji</w:t>
      </w:r>
    </w:p>
    <w:p>
      <w:pPr>
        <w:spacing w:after="0" w:line="5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wstęp (opłata za wstęp 0% w obrocie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2.00%*</w:t>
            </w:r>
          </w:p>
        </w:tc>
      </w:tr>
      <w:tr>
        <w:trPr>
          <w:trHeight w:val="232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wymiany)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4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Exit Charge (exit charge 0%, jeśli jest w obrocie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1,00%*</w:t>
            </w:r>
          </w:p>
        </w:tc>
      </w:tr>
      <w:tr>
        <w:trPr>
          <w:trHeight w:val="232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wymiany)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-348615</wp:posOffset>
            </wp:positionV>
            <wp:extent cx="2245995" cy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-688975</wp:posOffset>
            </wp:positionV>
            <wp:extent cx="3199130" cy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240"/>
        <w:spacing w:after="0" w:line="34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Jest to maksymalna kwota, która może zostać pobrana z Twoich pieniędzy przed dokonaniem inwestycji lub przed wypłaceniem wpływów z Twoich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-17145</wp:posOffset>
            </wp:positionV>
            <wp:extent cx="3208020" cy="19304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9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Opłaty pobierane z Funduszu w ciągu każdego roku</w:t>
      </w:r>
    </w:p>
    <w:p>
      <w:pPr>
        <w:spacing w:after="0" w:line="7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4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Opłaty Bieżące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0,46%</w:t>
            </w:r>
          </w:p>
        </w:tc>
      </w:tr>
      <w:tr>
        <w:trPr>
          <w:trHeight w:val="24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64"/>
        </w:trPr>
        <w:tc>
          <w:tcPr>
            <w:tcW w:w="4100" w:type="dxa"/>
            <w:vAlign w:val="bottom"/>
            <w:tcBorders>
              <w:bottom w:val="single" w:sz="8" w:color="auto"/>
            </w:tcBorders>
            <w:gridSpan w:val="2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Opłaty pobrane z Funduszu pod pewnymi warunkami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2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wydajność</w:t>
            </w: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-358775</wp:posOffset>
            </wp:positionV>
            <wp:extent cx="3199130" cy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-165735</wp:posOffset>
            </wp:positionV>
            <wp:extent cx="3199130" cy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7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360" w:space="240"/>
            <w:col w:w="5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Dotychczasowa wydajność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4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Przeszłe wyniki nie są wskazówką na przyszłość</w:t>
            </w:r>
          </w:p>
        </w:tc>
        <w:tc>
          <w:tcPr>
            <w:tcW w:w="2980" w:type="dxa"/>
            <w:vAlign w:val="bottom"/>
            <w:gridSpan w:val="6"/>
          </w:tcPr>
          <w:p>
            <w:pPr xmlns:w="http://schemas.openxmlformats.org/wordprocessingml/2006/main"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89"/>
              </w:rPr>
              <w:t xml:space="preserve">Historyczne wykonanie do 31 grudnia 2022 roku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wydajności.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9"/>
              </w:rPr>
              <w:t xml:space="preserve">Na wykresie pokazano roczne wyniki Funduszu w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EUR za każdy pełny rok kalendarzowy w danym okresie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wyświetlone na wykresie.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Jest on wyrażony jako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procentowa zmiana wartości aktywów netto Funduszu według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na koniec każdego roku.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Fundusz został uruchomiony w 2002 r.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Wydajność pokazana jest po odjęciu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opłat.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Wszelkie opłaty za wjazd/wyjazd są wyłączone z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obliczenia.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5"/>
              </w:rPr>
              <w:t xml:space="preserve">† poziom odniesienia: STOXX® Europe 600 Oil &amp; Gas (EUR)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3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2014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2015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2016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2017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2018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2019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2020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2021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2013</w:t>
            </w: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shd w:val="clear" w:color="auto" w:fill="80808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36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Fundusz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7,7</w:t>
            </w: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- 11,1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- 2,9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28,5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1,9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- 0,8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10,3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- 21,9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21,6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29,2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471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808080"/>
            </w:tcBorders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FFCE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† wskaźnika referencyjnego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8,3</w:t>
            </w: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- 11,8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- 3,7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28,8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1,8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- 0,8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10,0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- 22,2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21,4</w:t>
            </w:r>
          </w:p>
        </w:tc>
        <w:tc>
          <w:tcPr>
            <w:tcW w:w="20" w:type="dxa"/>
            <w:vAlign w:val="bottom"/>
            <w:vMerge w:val="restart"/>
            <w:shd w:val="clear" w:color="auto" w:fill="80808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29,0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vMerge w:val="continue"/>
            <w:shd w:val="clear" w:color="auto" w:fill="80808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2773680</wp:posOffset>
            </wp:positionH>
            <wp:positionV relativeFrom="paragraph">
              <wp:posOffset>-2060575</wp:posOffset>
            </wp:positionV>
            <wp:extent cx="3977640" cy="155448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Bankiem depozytowym Funduszu jest State Street Bank International GmbH.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60" w:right="22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Więcej informacji na temat Funduszu można znaleźć w najnowszych sprawozdaniach rocznych i półrocznych.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Dokumenty te są dostępne bezpłatnie w języku niemieckim, angielskim i niektórych innych językach.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Można je znaleźć wraz z innymi informacjami, takimi jak ceny jednostkowe, wysyłając wiadomość e-mail na adres info@iShares.de lub www.ishares.com (wybierz swój kraj i przejdź do strony Dokumenty) lub dzwoniąc pod numer +49 (0) 89 42729 5858.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-390525</wp:posOffset>
            </wp:positionV>
            <wp:extent cx="45720" cy="7747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62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Fundusz podlega niemieckiej ustawie o podatku inwestycyjnym (Investmentsteuergesetz).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Może to mieć wpływ na podatek od osób fizycznych od inwestycji w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Niniejszy dokument zawierający kluczowe informacje dla inwestorów jest specyficzny dla funduszu jako jednego z kilku subfunduszy iShares (DE) I Investmentaktiengesellschaft mit Teilgesellschaftsvermögen ("Parasol").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Jednakże prospekt emisyjny, roczne i półroczne sprawozdania są przygotowywane dla całego Parasola.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-389890</wp:posOffset>
            </wp:positionV>
            <wp:extent cx="45720" cy="7747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-242570</wp:posOffset>
            </wp:positionV>
            <wp:extent cx="45720" cy="7747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2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BlackRock Asset Management Deutschland AG może zostać pociągnięta do odpowiedzialności wyłącznie na podstawie wszelkich oświadczeń zawartych w niniejszym dokumencie, które wprowadzają w błąd, są niedokładne lub niezgodne z odpowiednimi częściami prospektu emisyjnego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Orientacyjna śróddzienna wartość aktywów netto Funduszu jest dostępna pod adresem http://deutsche-boerse.com lub http://www.reuters.com.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16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Spółka będzie publikowała zestawienie kluczowych inwestycji bazowych Funduszu dla każdego Dnia Transakcyjnego za pośrednictwem oficjalnej strony internetowej iShares (www.ishares.com) z zastrzeżeniem wszelkich ograniczeń w publikowaniu danych nałożonych przez odpowiednich dostawców indeksów.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1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Aktywa i zobowiązania Funduszu oraz jego odpowiedzialność prawna są oddzielone od pozostałych subfunduszy 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nie mogą przechodzić z inwestycji na inne subfundusze.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100"/>
        <w:spacing w:after="0" w:line="3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Polityka wynagradzania Spółki, która opisuje sposób ustalania i przyznawania wynagrodzeń i świadczeń oraz związane z tym ustalenia dotyczące ładu korporacyjnego, dostępna jest na stronie internetowej www.blackrock.com/Remunerationpolicy lub na wniosek siedziby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5673090</wp:posOffset>
            </wp:positionH>
            <wp:positionV relativeFrom="paragraph">
              <wp:posOffset>2200275</wp:posOffset>
            </wp:positionV>
            <wp:extent cx="1097280" cy="45720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-283210</wp:posOffset>
            </wp:positionV>
            <wp:extent cx="45720" cy="7747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3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Ten fundusz i BlackRock Asset Management Deutschland AG są autoryzowane w Niemczech i są regulowane przez Federalną Agencję Nadzoru Usług Finansowych (BaFin).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Niniejsze Kluczowe Informacje dla Inwestorów są aktualne na dzień 3 lutego 2023 roku</w:t>
      </w:r>
    </w:p>
    <w:sectPr>
      <w:pgSz w:w="11900" w:h="16838" w:orient="portrait"/>
      <w:cols w:equalWidth="0" w:num="1">
        <w:col w:w="10660"/>
      </w:cols>
      <w:pgMar w:left="620" w:top="609" w:right="62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3ADF08C"/>
    <w:multiLevelType w:val="hybridMultilevel"/>
    <w:lvl w:ilvl="0">
      <w:lvlJc w:val="left"/>
      <w:lvlText w:val="-"/>
      <w:numFmt w:val="bullet"/>
      <w:start w:val="1"/>
    </w:lvl>
  </w:abstractNum>
  <w:abstractNum w:abstractNumId="1">
    <w:nsid w:val="6CE9296"/>
    <w:multiLevelType w:val="hybridMultilevel"/>
    <w:lvl w:ilvl="0">
      <w:lvlJc w:val="left"/>
      <w:lvlText w:val="-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jpe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jpeg"/><Relationship Id="rId40" Type="http://schemas.openxmlformats.org/officeDocument/2006/relationships/image" Target="media/image29.png"/><Relationship Id="rId41" Type="http://schemas.openxmlformats.org/officeDocument/2006/relationships/image" Target="media/image30.png"/><Relationship Id="rId42" Type="http://schemas.openxmlformats.org/officeDocument/2006/relationships/image" Target="media/image31.png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jpeg"/><Relationship Id="rId50" Type="http://schemas.openxmlformats.org/officeDocument/2006/relationships/image" Target="media/image39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2024-05-21T08:42:29Z</dcterms:created>
  <dcterms:modified xsi:type="dcterms:W3CDTF">2024-05-21T08:42:29Z</dcterms:modified>
</cp:coreProperties>
</file>