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534670</wp:posOffset>
                </wp:positionH>
                <wp:positionV relativeFrom="page">
                  <wp:posOffset>463550</wp:posOffset>
                </wp:positionV>
                <wp:extent cx="6891655" cy="49657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891655" cy="496570"/>
                        </a:xfrm>
                        <a:prstGeom prst="rect">
                          <a:avLst/>
                        </a:prstGeom>
                        <a:solidFill>
                          <a:srgbClr val="1F4E79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xmlns:v="urn:schemas-microsoft-com:vml" id="Shape 1" o:spid="_x0000_s1026" style="position:absolute;margin-left:42.1pt;margin-top:36.5pt;width:542.65pt;height:39.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1F4E79" stroked="f">
                <w10:wrap xmlns:w10="urn:schemas-microsoft-com:office:word" anchorx="page" anchory="page"/>
              </v:rect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582295</wp:posOffset>
                </wp:positionH>
                <wp:positionV relativeFrom="page">
                  <wp:posOffset>463550</wp:posOffset>
                </wp:positionV>
                <wp:extent cx="6797040" cy="49657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797040" cy="4965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xmlns:v="urn:schemas-microsoft-com:vml" id="Shape 2" o:spid="_x0000_s1027" style="position:absolute;margin-left:45.85pt;margin-top:36.5pt;width:535.2pt;height:39.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000000" stroked="f">
                <w10:wrap xmlns:w10="urn:schemas-microsoft-com:office:word" anchorx="page" anchory="page"/>
              </v:rect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459740</wp:posOffset>
                </wp:positionV>
                <wp:extent cx="6903720" cy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9037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" o:spid="_x0000_s102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36.2pt" to="585.2pt,36.2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962660</wp:posOffset>
                </wp:positionV>
                <wp:extent cx="6903720" cy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9037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4" o:spid="_x0000_s102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75.8pt" to="585.2pt,75.8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1837690</wp:posOffset>
                </wp:positionV>
                <wp:extent cx="6903720" cy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9037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5" o:spid="_x0000_s103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144.7pt" to="585.2pt,144.7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3223260</wp:posOffset>
                </wp:positionV>
                <wp:extent cx="6903720" cy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9037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6" o:spid="_x0000_s103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253.8pt" to="585.2pt,253.8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4422140</wp:posOffset>
                </wp:positionV>
                <wp:extent cx="6903720" cy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9037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7" o:spid="_x0000_s103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348.2pt" to="585.2pt,348.2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531495</wp:posOffset>
                </wp:positionH>
                <wp:positionV relativeFrom="page">
                  <wp:posOffset>457200</wp:posOffset>
                </wp:positionV>
                <wp:extent cx="0" cy="874776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7477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8" o:spid="_x0000_s103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85pt,36pt" to="41.85pt,724.8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7429500</wp:posOffset>
                </wp:positionH>
                <wp:positionV relativeFrom="page">
                  <wp:posOffset>457200</wp:posOffset>
                </wp:positionV>
                <wp:extent cx="0" cy="874776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7477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9" o:spid="_x0000_s103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85pt,36pt" to="585pt,724.8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w:t xml:space="preserve">Kluczowe informacje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w:t xml:space="preserve">Dokument - Kontrakt Terminowy Na Długie Indeksy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25400</wp:posOffset>
                </wp:positionV>
                <wp:extent cx="6891020" cy="86868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91020" cy="868680"/>
                        </a:xfrm>
                        <a:prstGeom prst="rect">
                          <a:avLst/>
                        </a:prstGeom>
                        <a:solidFill>
                          <a:srgbClr val="9CC2E5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0" o:spid="_x0000_s1035" style="position:absolute;margin-left:-4.8499pt;margin-top:2pt;width:542.6pt;height:68.4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9CC2E5" stroked="f"/>
            </w:pict>
          </mc:Fallback>
        </mc:AlternateContent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Przeznaczenie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2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Niniejszy dokument zawiera kluczowe informacje na temat tego produktu inwestycyjnego.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Nie jest to materiał marketingowy.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Informacje te są wymagane przez prawo, aby pomóc Ci zrozumieć charakter, ryzyko, koszty, potencjalne zyski i straty tego produktu oraz aby pomóc Ci porównać go z innymi produktami.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Jest to dokument wyłącznie angielski, nieupoważniony do tłumaczenia na inny język.</w:t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Produkt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300"/>
        <w:spacing w:after="0" w:line="23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Kontrakty terminowe na indeks amerykański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Options Clearing Corporation ("OCC") przekazuje niniejszy dokument na podstawie Rozporządzenia UE nr 1286/2014 dla kontraktów terminowych na indeksy.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Kontrakty terminowe na indeksy są notowane i znajdują się w obrocie na niektórych giełdach kontraktów terminowych w Stanach Zjednoczonych, które są wyznaczonymi rynkami kontraktów regulowanymi przez amerykańską Komisję ds. Obrotu Kontraktami Terminowymi na Towary ("CFTC") i mogą być wspólnie regulowane jako krajowa giełda papierów wartościowych przez amerykańską Komisję Papierów Wartościowych i Giełd ("SEC"), oraz są rozliczane i rozliczane przez OCC, agencję rozliczeniową zarejestrowaną w SEC i organizację rozliczającą instrumenty pochodne zarejestrowaną w CFTC.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Więcej informacji, w tym dane kontaktowe giełd kontraktów terminowych, inwestorzy mogą znaleźć na stronie internetowej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 www.theocc.com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 lub skontaktować się z OCC pod numerem 1-312-322-6200.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 Zaktualizowany 28 grudnia 2022 i 20 kwietnia 2023.</w:t>
      </w:r>
    </w:p>
    <w:p>
      <w:pPr>
        <w:spacing w:after="0" w:line="79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80"/>
        <w:spacing w:after="0" w:line="23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Alert.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Zamierzasz kupić produkt, który nie jest prosty i może być trudny do zrozumienia.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 nie powinni prowadzić obrotu kontraktami terminowymi na indeksy, dopóki nie zapoznają się z niniejszym dokumentem i wszelkimi dodatkowymi informacjami ujawnianymi przez ich brokera, których istotą może być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auto"/>
        </w:rPr>
        <w:t xml:space="preserve">Oświadczenie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National Futures Association ("NFA") w sprawie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auto"/>
        </w:rPr>
        <w:t xml:space="preserve"> ujawniania ryzyka w odniesieniu do kontraktów terminowych na papiery wartościowe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,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https://www.nfa.futures.org/investors/investor-resources/files/security-futures-disclosure.pdf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, oraz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00000"/>
        </w:rPr>
        <w:t xml:space="preserve">Jednolite kontrakty terminowe i opcje w zakresie ujawniania ryzyka kontraktów terminowych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 Stowarzyszenia Branży Kontraktów Terminowych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,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 https://lc.fia.org/uniform-futures-and-options-futures-risk-disclosures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i w:val="1"/>
          <w:iCs w:val="1"/>
          <w:color w:val="000000"/>
        </w:rPr>
        <w:t xml:space="preserve">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 Ujawnienia w niniejszym dokumencie należy interpretować w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sposób spójny z tymi ujawnieniami.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23495</wp:posOffset>
                </wp:positionV>
                <wp:extent cx="6891020" cy="477139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91020" cy="4771390"/>
                        </a:xfrm>
                        <a:prstGeom prst="rect">
                          <a:avLst/>
                        </a:prstGeom>
                        <a:solidFill>
                          <a:srgbClr val="BDD6EE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1" o:spid="_x0000_s1036" style="position:absolute;margin-left:-4.8499pt;margin-top:1.85pt;width:542.6pt;height:375.7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BDD6EE" stroked="f"/>
            </w:pict>
          </mc:Fallback>
        </mc:AlternateContent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Co to za produkt?</w:t>
      </w:r>
    </w:p>
    <w:p>
      <w:pPr>
        <w:spacing w:after="0" w:line="39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Typ</w:t>
      </w:r>
    </w:p>
    <w:p>
      <w:pPr>
        <w:spacing w:after="0" w:line="10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180"/>
        <w:spacing w:after="0" w:line="23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Kontrakt terminowy na indeksy to umowa między dwiema stronami dotycząca kupna lub sprzedaży określonego indeksu bazowego po określonej cenie w dacie przyszłej.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Indeks jest miarą cen lub innych atrybutów grupy papierów wartościowych lub innych podstawowych udziałów.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Na przykład indeks może być zaprojektowany tak, aby był reprezentatywny dla cen grupy kapitałowych papierów wartościowych lub aby mierzył przewidywaną zmienność indeksu.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Indeksy różnią się w sposobie ich obliczania.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Osoba, która kupuje kontrakt terminowy na indeks, zawiera umowę kupna indeksu bazowego i mówi się, że jest to "długa" umowa.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Ekspozycja na indeks bazowy ma zatem charakter pośredni, ponieważ wartość przyszłego indeksu bazowego wywodzi się z wartości indeksu bazowego, a nie stanowi jego wartości.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Terminy zapadalności kontraktów terminowych na indeksy różnią się.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OCC nie może jednostronnie zakończyć przyszłości.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pewnych nadzwyczajnych okolicznościach giełda kontraktów terminowych może jednostronnie zmienić warunki kontraktu terminowego lub rozwiązać kontrakt.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Niektóre przypadki, takie jak zmiana składu lub wyliczenie indeksu, mogą skutkować zmianą warunków kontraktu terminowego na indeks zgodnie z regułami OCC, które mogą różnić się od metodologii stosowanej na europejskich rynkach opcji.</w:t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Cele</w:t>
      </w:r>
    </w:p>
    <w:p>
      <w:pPr>
        <w:spacing w:after="0" w:line="105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60"/>
        <w:spacing w:after="0" w:line="23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Kontrakt terminowy na indeksy długie to umowa kupna indeksu bazowego po z góry określonej cenie w określonym terminie w przyszłości.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Kupujący zazwyczaj nabywa kontrakt terminowy na długie indeksy, oczekując, że cena indeksu bazowego wzrośnie o termin zapadalności kontraktu.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Kupujący zrealizuje zysk brutto, jeżeli wartość indeksu bazowego wzrośnie do momentu zamknięcia kontraktu w przyszłości, a w przypadku spadku wartości, zrealizuje stratę brutto.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Nie ma zalecanego okresu utrzymywania kontraktów terminowych na indeksy.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Kupujący i sprzedający mogą odnosić zyski lub straty w dowolnym momencie, do terminu zapadalności przyszłości włącznie.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Podczas gdy kontrakt terminowy typu future na indeks ma z góry określony termin zapadalności, otwarta pozycja może zostać zamknięta poprzez zawarcie transakcji kompensacyjnej przed terminem zapadalności kontraktu.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Kontrakty terminowe na indeksy, które nie są zamknięte przed terminem zapadalności, muszą być rozliczane zgodnie z warunkami kontraktu, co wymaga rozliczenia gotówkowego.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Pozycje w kontraktach terminowych na indeksy, które są otwarte na koniec ostatniego dnia handlowego, są rozliczane w formie ostatecznej płatności gotówkowej opartej na ostatecznym kursie rozliczeniowym indeksu bazowego.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Czynniki wpływające na wartość przyszłego indeksu obejmują wartość indeksu bazowego oraz jego podatność na wahania cen (zmienność).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-67945</wp:posOffset>
                </wp:positionH>
                <wp:positionV relativeFrom="paragraph">
                  <wp:posOffset>438785</wp:posOffset>
                </wp:positionV>
                <wp:extent cx="6903085" cy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030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" o:spid="_x0000_s103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5.3499pt,34.55pt" to="538.2pt,34.55pt" o:allowincell="f" strokecolor="#000000" strokeweight="0.48pt"/>
            </w:pict>
          </mc:Fallback>
        </mc:AlternateContent>
      </w:r>
    </w:p>
    <w:p>
      <w:pPr>
        <w:sectPr>
          <w:pgSz w:w="12240" w:h="15840" w:orient="portrait"/>
          <w:cols w:equalWidth="0" w:num="1">
            <w:col w:w="10660"/>
          </w:cols>
          <w:pgMar w:left="940" w:top="699" w:right="640" w:bottom="1440" w:gutter="0" w:footer="0" w:header="0"/>
        </w:sectPr>
      </w:pPr>
    </w:p>
    <w:bookmarkStart w:id="1" w:name="page2"/>
    <w:bookmarkEnd w:id="1"/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534670</wp:posOffset>
                </wp:positionH>
                <wp:positionV relativeFrom="page">
                  <wp:posOffset>463550</wp:posOffset>
                </wp:positionV>
                <wp:extent cx="6891655" cy="87757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891655" cy="877570"/>
                        </a:xfrm>
                        <a:prstGeom prst="rect">
                          <a:avLst/>
                        </a:prstGeom>
                        <a:solidFill>
                          <a:srgbClr val="BDD6EE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xmlns:v="urn:schemas-microsoft-com:vml" id="Shape 13" o:spid="_x0000_s1038" style="position:absolute;margin-left:42.1pt;margin-top:36.5pt;width:542.65pt;height:69.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BDD6EE" stroked="f">
                <w10:wrap xmlns:w10="urn:schemas-microsoft-com:office:word" anchorx="page" anchory="page"/>
              </v:rect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459740</wp:posOffset>
                </wp:positionV>
                <wp:extent cx="6903720" cy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9037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4" o:spid="_x0000_s103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36.2pt" to="585.2pt,36.2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618490</wp:posOffset>
                </wp:positionH>
                <wp:positionV relativeFrom="page">
                  <wp:posOffset>7107555</wp:posOffset>
                </wp:positionV>
                <wp:extent cx="6813550" cy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8135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5" o:spid="_x0000_s104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8.7pt,559.65pt" to="585.2pt,559.65pt" o:allowincell="f" strokecolor="#000000" strokeweight="0.96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624840</wp:posOffset>
                </wp:positionH>
                <wp:positionV relativeFrom="page">
                  <wp:posOffset>7101840</wp:posOffset>
                </wp:positionV>
                <wp:extent cx="0" cy="143510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14351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6" o:spid="_x0000_s104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9.2pt,559.2pt" to="49.2pt,672.2pt" o:allowincell="f" strokecolor="#000000" strokeweight="0.95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3825240</wp:posOffset>
                </wp:positionH>
                <wp:positionV relativeFrom="page">
                  <wp:posOffset>7101840</wp:posOffset>
                </wp:positionV>
                <wp:extent cx="0" cy="143510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14351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7" o:spid="_x0000_s104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01.2pt,559.2pt" to="301.2pt,672.2pt" o:allowincell="f" strokecolor="#000000" strokeweight="0.95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5652135</wp:posOffset>
                </wp:positionH>
                <wp:positionV relativeFrom="page">
                  <wp:posOffset>7979410</wp:posOffset>
                </wp:positionV>
                <wp:extent cx="1779905" cy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7799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8" o:spid="_x0000_s104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45.05pt,628.3pt" to="585.2pt,628.3pt" o:allowincell="f" strokecolor="#000000" strokeweight="0.96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5658485</wp:posOffset>
                </wp:positionH>
                <wp:positionV relativeFrom="page">
                  <wp:posOffset>7101840</wp:posOffset>
                </wp:positionV>
                <wp:extent cx="0" cy="143510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14351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9" o:spid="_x0000_s104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45.55pt,559.2pt" to="445.55pt,672.2pt" o:allowincell="f" strokecolor="#000000" strokeweight="0.96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618490</wp:posOffset>
                </wp:positionH>
                <wp:positionV relativeFrom="page">
                  <wp:posOffset>8531225</wp:posOffset>
                </wp:positionV>
                <wp:extent cx="6813550" cy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8135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0" o:spid="_x0000_s104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8.7pt,671.75pt" to="585.2pt,671.75pt" o:allowincell="f" strokecolor="#000000" strokeweight="0.95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1343660</wp:posOffset>
                </wp:positionV>
                <wp:extent cx="6903720" cy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9037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1" o:spid="_x0000_s104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105.8pt" to="585.2pt,105.8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531495</wp:posOffset>
                </wp:positionH>
                <wp:positionV relativeFrom="page">
                  <wp:posOffset>457200</wp:posOffset>
                </wp:positionV>
                <wp:extent cx="0" cy="893953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9395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2" o:spid="_x0000_s104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85pt,36pt" to="41.85pt,739.9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7429500</wp:posOffset>
                </wp:positionH>
                <wp:positionV relativeFrom="page">
                  <wp:posOffset>457200</wp:posOffset>
                </wp:positionV>
                <wp:extent cx="0" cy="893953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9395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3" o:spid="_x0000_s104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85pt,36pt" to="585pt,739.9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Zamierzony Inwestor Detaliczny</w:t>
      </w:r>
    </w:p>
    <w:p>
      <w:pPr>
        <w:spacing w:after="0" w:line="10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right="100"/>
        <w:spacing w:after="0" w:line="22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Produkt ten nie jest przeznaczony dla określonego rodzaju inwestorów ani nie jest przeznaczony do realizacji określonego celu inwestycyjnego lub strategii inwestycyjnej.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Kontrakty terminowe na indeksy nie są odpowiednie dla wszystkich inwestorów i są przeznaczone wyłącznie dla inwestorów, którzy dobrze rozumieją produkt i mogą ponosić potencjalne straty z nim związane oraz związaną z nim strategię inwestycyjną.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przypadku pytań dotyczących odpowiedniości prosimy o kontakt z brokerem lub doradcą inwestycyjnym.</w:t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Jakie jest ryzyko i co mogę dostać w zamian?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1062990</wp:posOffset>
            </wp:positionH>
            <wp:positionV relativeFrom="paragraph">
              <wp:posOffset>15875</wp:posOffset>
            </wp:positionV>
            <wp:extent cx="4896485" cy="191389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6485" cy="1913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1062990</wp:posOffset>
            </wp:positionH>
            <wp:positionV relativeFrom="paragraph">
              <wp:posOffset>15875</wp:posOffset>
            </wp:positionV>
            <wp:extent cx="4896485" cy="191389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6485" cy="1913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Wskaźnik Ryzyka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100"/>
        <w:spacing w:after="0" w:line="22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Podsumowujący wskaźnik ryzyka jest wskazówką dotyczącą poziomu ryzyka tego produktu w porównaniu z innymi produktami.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Pokazuje, jak prawdopodobne jest, że produkt straci pieniądze z powodu zmian na rynkach lub dlatego, że nie jesteśmy w stanie zapłacić.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Zaklasyfikowaliśmy ten produkt jako 7 z 7, co jest najwyższą klasą ryzyka i ocenia potencjalne straty z przyszłych wyników na bardzo wysokim poziomie.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Ten produkt nie obejmuje żadnej ochrony przed przyszłą sytuacją rynkową, więc możesz stracić część lub całość inwestycji lub więcej.</w:t>
      </w:r>
    </w:p>
    <w:p>
      <w:pPr>
        <w:spacing w:after="0" w:line="10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800"/>
        <w:spacing w:after="0" w:line="2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Profil ryzyka i zysku kontraktu terminowego na długie indeksy zależy od jego warunków, ale może się wiązać z następującymi czynnikami:</w:t>
      </w:r>
    </w:p>
    <w:p>
      <w:pPr>
        <w:spacing w:after="0" w:line="8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 w:right="60" w:hanging="214"/>
        <w:spacing w:after="0" w:line="205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Kontrakty terminowe na indeksy handlowe wiążą się z ryzykiem i mogą skutkować potencjalnie nieograniczonymi stratami, które są większe niż kwota zdeponowana jako depozyt początkowy.</w:t>
      </w:r>
    </w:p>
    <w:p>
      <w:pPr>
        <w:spacing w:after="0" w:line="78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right="40" w:hanging="214"/>
        <w:spacing w:after="0" w:line="217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Kontrakty terminowe na indeksy to produkty lewarowane.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Niewielkie zmiany cen w przyszłości mogą skutkować dużymi zyskami lub stratami.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Jeśli ruchy na rynkach kontraktów terminowych lub indeksu bazowego obniżają wartość Twoich pozycji, możesz być natychmiast zobowiązany do złożenia dodatkowego depozytu zabezpieczającego, a Twoja pozycja może zostać przymusowo upłynniona ze stratą.</w:t>
      </w:r>
    </w:p>
    <w:p>
      <w:pPr>
        <w:spacing w:after="0" w:line="79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right="180" w:hanging="214"/>
        <w:spacing w:after="0" w:line="217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Jeżeli obrót na giełdzie stanie się niedostępny, inwestorzy mogą nie być w stanie zamknąć w odpowiednim czasie pozycji terminowej na indeks.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Mogą zaistnieć sytuacje, w których ceny kontraktów terminowych nie będą utrzymywać zwyczajowych lub oczekiwanych relacji z cenami bazowych lub powiązanych z nimi udziałów.</w:t>
      </w:r>
    </w:p>
    <w:p>
      <w:pPr>
        <w:spacing w:after="0" w:line="1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hanging="214"/>
        <w:spacing w:after="0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Prawo podatkowe w państwie członkowskim pochodzenia inwestora może mieć wpływ na jego zwrot.</w:t>
      </w:r>
    </w:p>
    <w:p>
      <w:pPr>
        <w:spacing w:after="0" w:line="86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right="140" w:hanging="214"/>
        <w:spacing w:after="0" w:line="214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Bądź świadomy ryzyka walutowego.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 Wszelkie płatności gotówkowe związane z obrotem lub realizacją kontraktów terminowych na indeksy będą rozliczane w dolarach amerykańskich, a w konsekwencji wyniki inwestycyjne mogą ulec zmianie w zależności od wahań kursów walut.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 Ryzyko to nie jest uwzględniane we wskaźniku powyżej.</w:t>
      </w:r>
    </w:p>
    <w:p>
      <w:pPr>
        <w:spacing w:after="0" w:line="6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80"/>
        <w:spacing w:after="0" w:line="2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Scenariusze wyników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(Przykłady nie obejmują kosztów prowizji, podatków i innych kosztów transakcyjnych, które mogą mieć wpływ na wartość transakcji i indeksowej pozycji terminowej.)</w:t>
      </w:r>
    </w:p>
    <w:p>
      <w:pPr>
        <w:sectPr>
          <w:pgSz w:w="12240" w:h="15840" w:orient="portrait"/>
          <w:cols w:equalWidth="0" w:num="1">
            <w:col w:w="10700"/>
          </w:cols>
          <w:pgMar w:left="940" w:top="707" w:right="600" w:bottom="510" w:gutter="0" w:footer="0" w:header="0"/>
        </w:sectPr>
      </w:pPr>
    </w:p>
    <w:p>
      <w:pPr>
        <w:spacing w:after="0" w:line="96" w:lineRule="exact"/>
        <w:rPr>
          <w:sz w:val="20"/>
          <w:szCs w:val="20"/>
          <w:color w:val="auto"/>
        </w:rPr>
      </w:pPr>
    </w:p>
    <w:tbl>
      <w:tblPr>
        <w:tblLayout w:type="fixed"/>
        <w:tblInd w:w="1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720" w:type="dxa"/>
            <w:vAlign w:val="bottom"/>
            <w:gridSpan w:val="2"/>
            <w:vMerge w:val="restart"/>
          </w:tcPr>
          <w:p>
            <w:pPr xmlns:w="http://schemas.openxmlformats.org/wordprocessingml/2006/main">
              <w:jc w:val="right"/>
              <w:ind w:right="7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1 000 $</w:t>
            </w:r>
          </w:p>
        </w:tc>
        <w:tc>
          <w:tcPr>
            <w:tcW w:w="4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40" w:type="dxa"/>
            <w:vAlign w:val="bottom"/>
            <w:tcBorders>
              <w:bottom w:val="single" w:sz="8" w:color="D9D9D9"/>
            </w:tcBorders>
            <w:gridSpan w:val="4"/>
          </w:tcPr>
          <w:p>
            <w:pPr xmlns:w="http://schemas.openxmlformats.org/wordprocessingml/2006/main"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6"/>
                <w:szCs w:val="16"/>
                <w:color w:val="595959"/>
              </w:rPr>
              <w:t xml:space="preserve">P/L pozycji długich kontraktów terminowych</w:t>
            </w:r>
          </w:p>
        </w:tc>
        <w:tc>
          <w:tcPr>
            <w:tcW w:w="24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left w:val="single" w:sz="8" w:color="BFBFBF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right w:val="single" w:sz="8" w:color="D9D9D9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right w:val="single" w:sz="8" w:color="D9D9D9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right w:val="single" w:sz="8" w:color="D9D9D9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right w:val="single" w:sz="8" w:color="D9D9D9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180" w:type="dxa"/>
            <w:vAlign w:val="bottom"/>
            <w:vMerge w:val="restart"/>
            <w:textDirection w:val="btLr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6"/>
                <w:szCs w:val="16"/>
                <w:color w:val="595959"/>
                <w:w w:val="94"/>
              </w:rPr>
              <w:t xml:space="preserve">P/L</w:t>
            </w:r>
          </w:p>
        </w:tc>
        <w:tc>
          <w:tcPr>
            <w:tcW w:w="54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7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  <w:w w:val="98"/>
              </w:rPr>
              <w:t xml:space="preserve">500 $</w:t>
            </w:r>
          </w:p>
        </w:tc>
        <w:tc>
          <w:tcPr>
            <w:tcW w:w="480" w:type="dxa"/>
            <w:vAlign w:val="bottom"/>
            <w:tcBorders>
              <w:left w:val="single" w:sz="8" w:color="BFBFBF"/>
              <w:bottom w:val="single" w:sz="8" w:color="D9D9D9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D9D9D9"/>
              <w:right w:val="single" w:sz="8" w:color="D9D9D9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D9D9D9"/>
              <w:right w:val="single" w:sz="8" w:color="D9D9D9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D9D9D9"/>
              <w:right w:val="single" w:sz="8" w:color="D9D9D9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D9D9D9"/>
              <w:right w:val="single" w:sz="8" w:color="D9D9D9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left w:val="single" w:sz="8" w:color="BFBFBF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right w:val="single" w:sz="8" w:color="D9D9D9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right w:val="single" w:sz="8" w:color="D9D9D9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right w:val="single" w:sz="8" w:color="D9D9D9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right w:val="single" w:sz="8" w:color="D9D9D9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0"/>
        </w:trPr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7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0 $</w:t>
            </w:r>
          </w:p>
        </w:tc>
        <w:tc>
          <w:tcPr>
            <w:tcW w:w="480" w:type="dxa"/>
            <w:vAlign w:val="bottom"/>
            <w:tcBorders>
              <w:left w:val="single" w:sz="8" w:color="BFBFBF"/>
              <w:bottom w:val="single" w:sz="8" w:color="BFBFBF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BFBFBF"/>
              <w:right w:val="single" w:sz="8" w:color="D9D9D9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BFBFBF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BFBFBF"/>
              <w:right w:val="single" w:sz="8" w:color="D9D9D9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BFBFBF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BFBFBF"/>
              <w:right w:val="single" w:sz="8" w:color="D9D9D9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BFBFBF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BFBFBF"/>
              <w:right w:val="single" w:sz="8" w:color="D9D9D9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left w:val="single" w:sz="8" w:color="BFBFBF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right w:val="single" w:sz="8" w:color="D9D9D9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right w:val="single" w:sz="8" w:color="D9D9D9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right w:val="single" w:sz="8" w:color="D9D9D9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right w:val="single" w:sz="8" w:color="D9D9D9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7"/>
        </w:trPr>
        <w:tc>
          <w:tcPr>
            <w:tcW w:w="720" w:type="dxa"/>
            <w:vAlign w:val="bottom"/>
            <w:gridSpan w:val="2"/>
            <w:vMerge w:val="restart"/>
          </w:tcPr>
          <w:p>
            <w:pPr xmlns:w="http://schemas.openxmlformats.org/wordprocessingml/2006/main">
              <w:jc w:val="right"/>
              <w:ind w:right="7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- 500 $</w:t>
            </w:r>
          </w:p>
        </w:tc>
        <w:tc>
          <w:tcPr>
            <w:tcW w:w="480" w:type="dxa"/>
            <w:vAlign w:val="bottom"/>
            <w:tcBorders>
              <w:left w:val="single" w:sz="8" w:color="BFBFBF"/>
              <w:bottom w:val="single" w:sz="8" w:color="D9D9D9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D9D9D9"/>
              <w:right w:val="single" w:sz="8" w:color="D9D9D9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D9D9D9"/>
              <w:right w:val="single" w:sz="8" w:color="D9D9D9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D9D9D9"/>
              <w:right w:val="single" w:sz="8" w:color="D9D9D9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D9D9D9"/>
              <w:right w:val="single" w:sz="8" w:color="D9D9D9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left w:val="single" w:sz="8" w:color="BFBFBF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right w:val="single" w:sz="8" w:color="D9D9D9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right w:val="single" w:sz="8" w:color="D9D9D9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right w:val="single" w:sz="8" w:color="D9D9D9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right w:val="single" w:sz="8" w:color="D9D9D9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5"/>
        </w:trPr>
        <w:tc>
          <w:tcPr>
            <w:tcW w:w="720" w:type="dxa"/>
            <w:vAlign w:val="bottom"/>
            <w:gridSpan w:val="2"/>
            <w:vMerge w:val="restart"/>
          </w:tcPr>
          <w:p>
            <w:pPr xmlns:w="http://schemas.openxmlformats.org/wordprocessingml/2006/main">
              <w:jc w:val="right"/>
              <w:ind w:right="7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  <w:w w:val="96"/>
              </w:rPr>
              <w:t xml:space="preserve">- 1000 $</w:t>
            </w:r>
          </w:p>
        </w:tc>
        <w:tc>
          <w:tcPr>
            <w:tcW w:w="480" w:type="dxa"/>
            <w:vAlign w:val="bottom"/>
            <w:tcBorders>
              <w:left w:val="single" w:sz="8" w:color="BFBFBF"/>
              <w:bottom w:val="single" w:sz="8" w:color="D9D9D9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D9D9D9"/>
              <w:right w:val="single" w:sz="8" w:color="D9D9D9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D9D9D9"/>
              <w:right w:val="single" w:sz="8" w:color="D9D9D9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D9D9D9"/>
              <w:right w:val="single" w:sz="8" w:color="D9D9D9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D9D9D9"/>
              <w:right w:val="single" w:sz="8" w:color="D9D9D9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D9D9D9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top w:val="single" w:sz="8" w:color="D9D9D9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D9D9D9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top w:val="single" w:sz="8" w:color="D9D9D9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D9D9D9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top w:val="single" w:sz="8" w:color="D9D9D9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D9D9D9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top w:val="single" w:sz="8" w:color="D9D9D9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20" w:type="dxa"/>
            <w:vAlign w:val="bottom"/>
            <w:gridSpan w:val="2"/>
          </w:tcPr>
          <w:p>
            <w:pPr xmlns:w="http://schemas.openxmlformats.org/wordprocessingml/2006/main">
              <w:jc w:val="right"/>
              <w:ind w:right="3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40 $</w:t>
            </w:r>
          </w:p>
        </w:tc>
        <w:tc>
          <w:tcPr>
            <w:tcW w:w="1000" w:type="dxa"/>
            <w:vAlign w:val="bottom"/>
            <w:gridSpan w:val="2"/>
          </w:tcPr>
          <w:p>
            <w:pPr xmlns:w="http://schemas.openxmlformats.org/wordprocessingml/2006/main">
              <w:jc w:val="right"/>
              <w:ind w:right="3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45 $</w:t>
            </w:r>
          </w:p>
        </w:tc>
        <w:tc>
          <w:tcPr>
            <w:tcW w:w="1240" w:type="dxa"/>
            <w:vAlign w:val="bottom"/>
            <w:gridSpan w:val="2"/>
          </w:tcPr>
          <w:p>
            <w:pPr xmlns:w="http://schemas.openxmlformats.org/wordprocessingml/2006/main">
              <w:jc w:val="right"/>
              <w:ind w:right="6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50 $</w:t>
            </w:r>
          </w:p>
        </w:tc>
        <w:tc>
          <w:tcPr>
            <w:tcW w:w="720" w:type="dxa"/>
            <w:vAlign w:val="bottom"/>
            <w:gridSpan w:val="2"/>
          </w:tcPr>
          <w:p>
            <w:pPr xmlns:w="http://schemas.openxmlformats.org/wordprocessingml/2006/main">
              <w:jc w:val="right"/>
              <w:ind w:right="3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55 $</w:t>
            </w:r>
          </w:p>
        </w:tc>
        <w:tc>
          <w:tcPr>
            <w:tcW w:w="620" w:type="dxa"/>
            <w:vAlign w:val="bottom"/>
            <w:gridSpan w:val="2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60 $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960" w:type="dxa"/>
            <w:vAlign w:val="bottom"/>
            <w:gridSpan w:val="6"/>
          </w:tcPr>
          <w:p>
            <w:pPr xmlns:w="http://schemas.openxmlformats.org/wordprocessingml/2006/main">
              <w:jc w:val="center"/>
              <w:spacing w:after="0" w:line="19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6"/>
                <w:szCs w:val="16"/>
                <w:color w:val="595959"/>
                <w:w w:val="99"/>
              </w:rPr>
              <w:t xml:space="preserve">Cena rynkowa indeksu bazowego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1147445</wp:posOffset>
            </wp:positionH>
            <wp:positionV relativeFrom="paragraph">
              <wp:posOffset>-924560</wp:posOffset>
            </wp:positionV>
            <wp:extent cx="1316990" cy="45847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990" cy="458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P/L Naprężony (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FF0000"/>
        </w:rPr>
        <w:t xml:space="preserve">Czerwony Punkt Wykresu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)</w:t>
      </w:r>
    </w:p>
    <w:p>
      <w:pPr>
        <w:spacing w:after="0" w:line="12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Wcześniej ustalona cena w terminie zapadalności: $50</w:t>
      </w:r>
    </w:p>
    <w:p>
      <w:pPr>
        <w:spacing w:after="0" w:line="11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Rzeczywista cena rynkowa w terminie zapadalności: 45 USD</w:t>
      </w:r>
    </w:p>
    <w:p>
      <w:pPr>
        <w:spacing w:after="0" w:line="129" w:lineRule="exact"/>
        <w:rPr>
          <w:sz w:val="20"/>
          <w:szCs w:val="20"/>
          <w:color w:val="auto"/>
        </w:rPr>
      </w:pPr>
    </w:p>
    <w:tbl>
      <w:tblPr>
        <w:tblLayout w:type="fixed"/>
        <w:tblInd w:w="1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9"/>
        </w:trPr>
        <w:tc>
          <w:tcPr>
            <w:tcW w:w="10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16"/>
                <w:szCs w:val="16"/>
                <w:color w:val="auto"/>
                <w:w w:val="75"/>
              </w:rPr>
              <w:t>·</w:t>
            </w:r>
          </w:p>
        </w:tc>
        <w:tc>
          <w:tcPr>
            <w:tcW w:w="1860" w:type="dxa"/>
            <w:vAlign w:val="bottom"/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6"/>
                <w:szCs w:val="16"/>
                <w:color w:val="auto"/>
              </w:rPr>
              <w:t xml:space="preserve">Korzystny dla sprzedającego (krótki)</w:t>
            </w:r>
          </w:p>
        </w:tc>
        <w:tc>
          <w:tcPr>
            <w:tcW w:w="48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6"/>
                <w:szCs w:val="16"/>
                <w:color w:val="auto"/>
              </w:rPr>
              <w:t xml:space="preserve">+ 500 $</w:t>
            </w:r>
          </w:p>
        </w:tc>
      </w:tr>
      <w:tr>
        <w:trPr>
          <w:trHeight w:val="208"/>
        </w:trPr>
        <w:tc>
          <w:tcPr>
            <w:tcW w:w="10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16"/>
                <w:szCs w:val="16"/>
                <w:color w:val="auto"/>
                <w:w w:val="75"/>
              </w:rPr>
              <w:t>·</w:t>
            </w:r>
          </w:p>
        </w:tc>
        <w:tc>
          <w:tcPr>
            <w:tcW w:w="1860" w:type="dxa"/>
            <w:vAlign w:val="bottom"/>
          </w:tcPr>
          <w:p>
            <w:pPr xmlns:w="http://schemas.openxmlformats.org/wordprocessingml/2006/main">
              <w:ind w:left="40"/>
              <w:spacing w:after="0" w:line="19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6"/>
                <w:szCs w:val="16"/>
                <w:color w:val="auto"/>
                <w:w w:val="99"/>
              </w:rPr>
              <w:t xml:space="preserve">Niekorzystny dla kupującego (długi)</w:t>
            </w:r>
          </w:p>
        </w:tc>
        <w:tc>
          <w:tcPr>
            <w:tcW w:w="480" w:type="dxa"/>
            <w:vAlign w:val="bottom"/>
          </w:tcPr>
          <w:p>
            <w:pPr xmlns:w="http://schemas.openxmlformats.org/wordprocessingml/2006/main">
              <w:jc w:val="right"/>
              <w:spacing w:after="0" w:line="19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6"/>
                <w:szCs w:val="16"/>
                <w:color w:val="auto"/>
              </w:rPr>
              <w:t xml:space="preserve">- 500 $</w:t>
            </w:r>
          </w:p>
        </w:tc>
      </w:tr>
    </w:tbl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P/L Umiarkowane (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00B050"/>
        </w:rPr>
        <w:t xml:space="preserve">Zielony Punkt Działki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)</w:t>
      </w:r>
    </w:p>
    <w:p>
      <w:pPr>
        <w:spacing w:after="0" w:line="12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Wcześniej ustalona cena w terminie zapadalności: $50</w:t>
      </w:r>
    </w:p>
    <w:p>
      <w:pPr>
        <w:spacing w:after="0" w:line="11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Rzeczywista cena rynkowa w terminie zapadalności: 51 USD</w:t>
      </w:r>
    </w:p>
    <w:p>
      <w:pPr>
        <w:spacing w:after="0" w:line="12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80" w:hanging="137"/>
        <w:spacing w:after="0"/>
        <w:tabs>
          <w:tab w:leader="none" w:pos="280" w:val="left"/>
        </w:tabs>
        <w:numPr>
          <w:ilvl w:val="0"/>
          <w:numId w:val="2"/>
        </w:numPr>
        <w:rPr>
          <w:rFonts w:ascii="Symbol" w:cs="Symbol" w:eastAsia="Symbol" w:hAnsi="Symbol"/>
          <w:sz w:val="16"/>
          <w:szCs w:val="16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Niekorzystny dla sprzedającego (krótki) - 100 USD</w:t>
      </w:r>
    </w:p>
    <w:p>
      <w:pPr>
        <w:spacing w:after="0" w:line="9" w:lineRule="exact"/>
        <w:rPr>
          <w:sz w:val="20"/>
          <w:szCs w:val="20"/>
          <w:color w:val="auto"/>
        </w:rPr>
      </w:pPr>
    </w:p>
    <w:tbl>
      <w:tblPr>
        <w:tblLayout w:type="fixed"/>
        <w:tblInd w:w="1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13"/>
        </w:trPr>
        <w:tc>
          <w:tcPr>
            <w:tcW w:w="194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 xmlns:w="http://schemas.openxmlformats.org/wordprocessingml/2006/main">
              <w:rPr>
                <w:rFonts w:ascii="Symbol" w:cs="Symbol" w:eastAsia="Symbol" w:hAnsi="Symbol"/>
                <w:sz w:val="16"/>
                <w:szCs w:val="16"/>
                <w:color w:val="auto"/>
              </w:rPr>
              <w:t>·</w:t>
            </w:r>
            <w:r>
              <w:rPr xmlns:w="http://schemas.openxmlformats.org/wordprocessingml/2006/main">
                <w:rFonts w:ascii="Calibri" w:cs="Calibri" w:eastAsia="Calibri" w:hAnsi="Calibri"/>
                <w:sz w:val="16"/>
                <w:szCs w:val="16"/>
                <w:color w:val="auto"/>
              </w:rPr>
              <w:t xml:space="preserve"> Korzystny dla kupującego (długi)</w:t>
            </w:r>
          </w:p>
        </w:tc>
        <w:tc>
          <w:tcPr>
            <w:tcW w:w="56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6"/>
                <w:szCs w:val="16"/>
                <w:color w:val="auto"/>
              </w:rPr>
              <w:t xml:space="preserve">+ 100 $</w:t>
            </w:r>
          </w:p>
        </w:tc>
      </w:tr>
    </w:tbl>
    <w:p>
      <w:pPr>
        <w:spacing w:after="0" w:line="5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140"/>
        <w:spacing w:after="0" w:line="219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Wartość Break Even Point występuje, gdy ustalona z góry cena jest równa rzeczywistej cenie rynkowej.</w:t>
      </w:r>
    </w:p>
    <w:p>
      <w:pPr>
        <w:spacing w:after="0" w:line="251" w:lineRule="exact"/>
        <w:rPr>
          <w:sz w:val="20"/>
          <w:szCs w:val="20"/>
          <w:color w:val="auto"/>
        </w:rPr>
      </w:pPr>
    </w:p>
    <w:p>
      <w:pPr>
        <w:sectPr>
          <w:pgSz w:w="12240" w:h="15840" w:orient="portrait"/>
          <w:cols w:equalWidth="0" w:num="3">
            <w:col w:w="4960" w:space="240"/>
            <w:col w:w="2560" w:space="320"/>
            <w:col w:w="2620"/>
          </w:cols>
          <w:pgMar w:left="940" w:top="707" w:right="600" w:bottom="510" w:gutter="0" w:footer="0" w:header="0"/>
          <w:type w:val="continuous"/>
        </w:sectPr>
      </w:pPr>
    </w:p>
    <w:p>
      <w:pPr>
        <w:spacing w:after="0" w:line="9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260"/>
        <w:spacing w:after="0" w:line="22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Wykres ilustruje, jak Twoja inwestycja może się sprawdzić.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Można to porównać do wykresów wypłat dla innych instrumentów pochodnych.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Wykres przedstawia szereg możliwych wyników i nie jest dokładną wskazówką, co możesz odzyskać.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Inwestowanie w ten produkt oznacza, że uważasz, że cena bazowa wzrośnie.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To, co otrzymasz z powrotem, będzie się różnić w zależności od tego, jak rozwinie się instrument bazowy, co zależy od przyszłej wydajności rynku, która jest niepewna i nie można jej przewidzieć.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Dla dwóch wartości instrumentu bazowego wykres pokazuje, jaki byłby zysk lub strata produktu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-67945</wp:posOffset>
                </wp:positionH>
                <wp:positionV relativeFrom="paragraph">
                  <wp:posOffset>17780</wp:posOffset>
                </wp:positionV>
                <wp:extent cx="6903085" cy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030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7" o:spid="_x0000_s105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5.3499pt,1.4pt" to="538.2pt,1.4pt" o:allowincell="f" strokecolor="#000000" strokeweight="0.4799pt"/>
            </w:pict>
          </mc:Fallback>
        </mc:AlternateContent>
      </w:r>
    </w:p>
    <w:p>
      <w:pPr>
        <w:sectPr>
          <w:pgSz w:w="12240" w:h="15840" w:orient="portrait"/>
          <w:cols w:equalWidth="0" w:num="1">
            <w:col w:w="10700"/>
          </w:cols>
          <w:pgMar w:left="940" w:top="707" w:right="600" w:bottom="510" w:gutter="0" w:footer="0" w:header="0"/>
          <w:type w:val="continuous"/>
        </w:sectPr>
      </w:pPr>
    </w:p>
    <w:bookmarkStart w:id="2" w:name="page3"/>
    <w:bookmarkEnd w:id="2"/>
    <w:p>
      <w:pPr xmlns:w="http://schemas.openxmlformats.org/wordprocessingml/2006/main">
        <w:spacing w:after="0" w:line="202" w:lineRule="auto"/>
        <w:framePr w:w="1360" w:h="134" w:wrap="auto" w:vAnchor="page" w:hAnchor="page" w:x="6440" w:y="9437"/>
        <w:rPr>
          <w:rFonts w:ascii="Calibri" w:cs="Calibri" w:eastAsia="Calibri" w:hAnsi="Calibri"/>
          <w:sz w:val="13"/>
          <w:szCs w:val="13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color w:val="auto"/>
        </w:rPr>
        <w:t xml:space="preserve">Opłaty za wyniki</w:t>
      </w:r>
    </w:p>
    <w:p>
      <w:pPr xmlns:w="http://schemas.openxmlformats.org/wordprocessingml/2006/main">
        <w:spacing w:after="0" w:line="202" w:lineRule="auto"/>
        <w:framePr w:w="480" w:h="134" w:wrap="auto" w:vAnchor="page" w:hAnchor="page" w:x="7960" w:y="9437"/>
        <w:rPr>
          <w:rFonts w:ascii="Calibri" w:cs="Calibri" w:eastAsia="Calibri" w:hAnsi="Calibri"/>
          <w:sz w:val="13"/>
          <w:szCs w:val="13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color w:val="auto"/>
        </w:rPr>
        <w:t xml:space="preserve">Brak</w:t>
      </w:r>
    </w:p>
    <w:p>
      <w:pPr xmlns:w="http://schemas.openxmlformats.org/wordprocessingml/2006/main">
        <w:spacing w:after="0" w:line="202" w:lineRule="auto"/>
        <w:framePr w:w="380" w:h="134" w:wrap="auto" w:vAnchor="page" w:hAnchor="page" w:x="10120" w:y="9437"/>
        <w:rPr>
          <w:rFonts w:ascii="Calibri" w:cs="Calibri" w:eastAsia="Calibri" w:hAnsi="Calibri"/>
          <w:sz w:val="13"/>
          <w:szCs w:val="13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color w:val="auto"/>
        </w:rPr>
        <w:t xml:space="preserve">NIE DOTYCZY</w:t>
      </w:r>
    </w:p>
    <w:p>
      <w:pPr xmlns:w="http://schemas.openxmlformats.org/wordprocessingml/2006/main">
        <w:spacing w:after="0" w:line="202" w:lineRule="auto"/>
        <w:framePr w:w="3520" w:h="134" w:wrap="auto" w:vAnchor="page" w:hAnchor="page" w:x="6440" w:y="9130"/>
        <w:rPr>
          <w:rFonts w:ascii="Calibri" w:cs="Calibri" w:eastAsia="Calibri" w:hAnsi="Calibri"/>
          <w:sz w:val="13"/>
          <w:szCs w:val="13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color w:val="auto"/>
          <w:highlight w:val="lightGray"/>
        </w:rPr>
        <w:t xml:space="preserve">Koszty uboczne ponoszone na określonych warunkach</w:t>
      </w:r>
    </w:p>
    <w:p>
      <w:pPr xmlns:w="http://schemas.openxmlformats.org/wordprocessingml/2006/main">
        <w:spacing w:after="0" w:line="202" w:lineRule="auto"/>
        <w:framePr w:w="1340" w:h="134" w:wrap="auto" w:vAnchor="page" w:hAnchor="page" w:x="6440" w:y="8823"/>
        <w:rPr>
          <w:rFonts w:ascii="Calibri" w:cs="Calibri" w:eastAsia="Calibri" w:hAnsi="Calibri"/>
          <w:sz w:val="13"/>
          <w:szCs w:val="13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color w:val="auto"/>
          <w:highlight w:val="lightGray"/>
        </w:rPr>
        <w:t xml:space="preserve">Koszty transakcyjne</w:t>
      </w:r>
    </w:p>
    <w:p>
      <w:pPr xmlns:w="http://schemas.openxmlformats.org/wordprocessingml/2006/main">
        <w:spacing w:after="0" w:line="193" w:lineRule="auto"/>
        <w:framePr w:w="780" w:h="355" w:wrap="auto" w:vAnchor="page" w:hAnchor="page" w:x="10120" w:y="8602"/>
        <w:rPr>
          <w:rFonts w:ascii="Calibri" w:cs="Calibri" w:eastAsia="Calibri" w:hAnsi="Calibri"/>
          <w:sz w:val="18"/>
          <w:szCs w:val="18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auto"/>
          <w:highlight w:val="lightGray"/>
        </w:rPr>
        <w:t xml:space="preserve">Zmienna (w toku)</w:t>
      </w:r>
    </w:p>
    <w:p>
      <w:pPr xmlns:w="http://schemas.openxmlformats.org/wordprocessingml/2006/main">
        <w:spacing w:after="0" w:line="208" w:lineRule="auto"/>
        <w:framePr w:w="1980" w:h="573" w:wrap="auto" w:vAnchor="page" w:hAnchor="page" w:x="7960" w:y="8384"/>
        <w:rPr>
          <w:rFonts w:ascii="Calibri" w:cs="Calibri" w:eastAsia="Calibri" w:hAnsi="Calibri"/>
          <w:sz w:val="18"/>
          <w:szCs w:val="18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auto"/>
          <w:highlight w:val="lightGray"/>
        </w:rPr>
        <w:t xml:space="preserve">Depozyt zabezpieczający (wymagania mogą ulec zmianie i mogą różnić się w </w:t>
      </w:r>
      <w:r>
        <w:rPr xmlns:w="http://schemas.openxmlformats.org/wordprocessingml/2006/main">
          <w:rFonts w:ascii="Calibri" w:cs="Calibri" w:eastAsia="Calibri" w:hAnsi="Calibri"/>
          <w:sz w:val="18"/>
          <w:szCs w:val="18"/>
          <w:u w:val="single" w:color="auto"/>
          <w:color w:val="auto"/>
          <w:highlight w:val="lightGray"/>
        </w:rPr>
        <w:t xml:space="preserve">zależności od rodzaju działalności maklerskiej</w:t>
      </w: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auto"/>
          <w:highlight w:val="lightGray"/>
        </w:rPr>
        <w:t xml:space="preserve">)</w:t>
      </w:r>
    </w:p>
    <w:p>
      <w:pPr xmlns:w="http://schemas.openxmlformats.org/wordprocessingml/2006/main">
        <w:spacing w:after="0" w:line="202" w:lineRule="auto"/>
        <w:framePr w:w="380" w:h="134" w:wrap="auto" w:vAnchor="page" w:hAnchor="page" w:x="10120" w:y="8144"/>
        <w:rPr>
          <w:rFonts w:ascii="Calibri" w:cs="Calibri" w:eastAsia="Calibri" w:hAnsi="Calibri"/>
          <w:sz w:val="13"/>
          <w:szCs w:val="13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color w:val="auto"/>
          <w:highlight w:val="lightGray"/>
        </w:rPr>
        <w:t xml:space="preserve">NIE DOTYCZY</w:t>
      </w:r>
    </w:p>
    <w:p>
      <w:pPr xmlns:w="http://schemas.openxmlformats.org/wordprocessingml/2006/main">
        <w:spacing w:after="0" w:line="193" w:lineRule="auto"/>
        <w:framePr w:w="1900" w:h="355" w:wrap="auto" w:vAnchor="page" w:hAnchor="page" w:x="7960" w:y="7923"/>
        <w:rPr>
          <w:rFonts w:ascii="Calibri" w:cs="Calibri" w:eastAsia="Calibri" w:hAnsi="Calibri"/>
          <w:sz w:val="18"/>
          <w:szCs w:val="18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auto"/>
          <w:highlight w:val="lightGray"/>
        </w:rPr>
        <w:t xml:space="preserve">Nie ma </w:t>
      </w:r>
      <w:r>
        <w:rPr xmlns:w="http://schemas.openxmlformats.org/wordprocessingml/2006/main">
          <w:rFonts w:ascii="Calibri" w:cs="Calibri" w:eastAsia="Calibri" w:hAnsi="Calibri"/>
          <w:sz w:val="18"/>
          <w:szCs w:val="18"/>
          <w:u w:val="single" w:color="auto"/>
          <w:color w:val="auto"/>
          <w:highlight w:val="lightGray"/>
        </w:rPr>
        <w:t xml:space="preserve">opłaty</w:t>
      </w: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auto"/>
          <w:highlight w:val="lightGray"/>
        </w:rPr>
        <w:t xml:space="preserve"> za zarządzanie</w:t>
      </w:r>
    </w:p>
    <w:p>
      <w:pPr xmlns:w="http://schemas.openxmlformats.org/wordprocessingml/2006/main">
        <w:spacing w:after="0" w:line="202" w:lineRule="auto"/>
        <w:framePr w:w="1120" w:h="134" w:wrap="auto" w:vAnchor="page" w:hAnchor="page" w:x="6440" w:y="7244"/>
        <w:rPr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  <w:t xml:space="preserve">Koszty Bieżące</w:t>
      </w:r>
    </w:p>
    <w:p>
      <w:pPr xmlns:w="http://schemas.openxmlformats.org/wordprocessingml/2006/main">
        <w:spacing w:after="0" w:line="229" w:lineRule="auto"/>
        <w:framePr w:w="1320" w:h="794" w:wrap="auto" w:vAnchor="page" w:hAnchor="page" w:x="6440" w:y="7484"/>
        <w:rPr>
          <w:rFonts w:ascii="Calibri" w:cs="Calibri" w:eastAsia="Calibri" w:hAnsi="Calibri"/>
          <w:sz w:val="17"/>
          <w:szCs w:val="17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7"/>
          <w:szCs w:val="17"/>
          <w:u w:val="single" w:color="auto"/>
          <w:color w:val="auto"/>
          <w:highlight w:val="lightGray"/>
        </w:rPr>
        <w:t xml:space="preserve">Opłaty za zarządzanie i inne koszty administracyjne lub operacyjne</w:t>
      </w:r>
    </w:p>
    <w:p>
      <w:pPr xmlns:w="http://schemas.openxmlformats.org/wordprocessingml/2006/main">
        <w:spacing w:after="0" w:line="192" w:lineRule="auto"/>
        <w:framePr w:w="1220" w:h="352" w:wrap="auto" w:vAnchor="page" w:hAnchor="page" w:x="10120" w:y="7025"/>
        <w:rPr>
          <w:rFonts w:ascii="Calibri" w:cs="Calibri" w:eastAsia="Calibri" w:hAnsi="Calibri"/>
          <w:sz w:val="18"/>
          <w:szCs w:val="18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8"/>
          <w:szCs w:val="18"/>
          <w:u w:val="single" w:color="auto"/>
          <w:color w:val="auto"/>
          <w:highlight w:val="lightGray"/>
        </w:rPr>
        <w:t xml:space="preserve">Kwota (w dowolnym momencie)</w:t>
      </w:r>
    </w:p>
    <w:p>
      <w:pPr xmlns:w="http://schemas.openxmlformats.org/wordprocessingml/2006/main">
        <w:spacing w:after="0" w:line="202" w:lineRule="auto"/>
        <w:framePr w:w="1720" w:h="134" w:wrap="auto" w:vAnchor="page" w:hAnchor="page" w:x="7960" w:y="6785"/>
        <w:rPr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  <w:t xml:space="preserve">Premium, Komisja</w:t>
      </w:r>
    </w:p>
    <w:p>
      <w:pPr xmlns:w="http://schemas.openxmlformats.org/wordprocessingml/2006/main">
        <w:spacing w:after="0" w:line="202" w:lineRule="auto"/>
        <w:framePr w:w="680" w:h="134" w:wrap="auto" w:vAnchor="page" w:hAnchor="page" w:x="10120" w:y="6785"/>
        <w:rPr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  <w:t xml:space="preserve">Zmienna</w:t>
      </w:r>
    </w:p>
    <w:p>
      <w:pPr xmlns:w="http://schemas.openxmlformats.org/wordprocessingml/2006/main">
        <w:spacing w:after="0" w:line="202" w:lineRule="auto"/>
        <w:framePr w:w="680" w:h="134" w:wrap="auto" w:vAnchor="page" w:hAnchor="page" w:x="10120" w:y="6106"/>
        <w:rPr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  <w:t xml:space="preserve">Zmienna</w:t>
      </w:r>
    </w:p>
    <w:p>
      <w:pPr xmlns:w="http://schemas.openxmlformats.org/wordprocessingml/2006/main">
        <w:spacing w:after="0" w:line="220" w:lineRule="auto"/>
        <w:framePr w:w="1260" w:h="573" w:wrap="auto" w:vAnchor="page" w:hAnchor="page" w:x="6440" w:y="5667"/>
        <w:rPr>
          <w:rFonts w:ascii="Calibri" w:cs="Calibri" w:eastAsia="Calibri" w:hAnsi="Calibri"/>
          <w:sz w:val="17"/>
          <w:szCs w:val="17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7"/>
          <w:szCs w:val="17"/>
          <w:u w:val="single" w:color="auto"/>
          <w:color w:val="auto"/>
          <w:highlight w:val="lightGray"/>
        </w:rPr>
        <w:t xml:space="preserve">Koszty wejścia (na transakcję - otwarcie (wejście))</w:t>
      </w:r>
    </w:p>
    <w:p>
      <w:pPr xmlns:w="http://schemas.openxmlformats.org/wordprocessingml/2006/main">
        <w:spacing w:after="0" w:line="220" w:lineRule="auto"/>
        <w:framePr w:w="1120" w:h="573" w:wrap="auto" w:vAnchor="page" w:hAnchor="page" w:x="6440" w:y="6346"/>
        <w:rPr>
          <w:rFonts w:ascii="Calibri" w:cs="Calibri" w:eastAsia="Calibri" w:hAnsi="Calibri"/>
          <w:sz w:val="17"/>
          <w:szCs w:val="17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7"/>
          <w:szCs w:val="17"/>
          <w:u w:val="single" w:color="auto"/>
          <w:color w:val="auto"/>
          <w:highlight w:val="lightGray"/>
        </w:rPr>
        <w:t xml:space="preserve">Koszty wyjścia (na transakcję - zamknięcie (wyjście))</w:t>
      </w:r>
    </w:p>
    <w:p>
      <w:pPr xmlns:w="http://schemas.openxmlformats.org/wordprocessingml/2006/main">
        <w:spacing w:after="0" w:line="202" w:lineRule="auto"/>
        <w:framePr w:w="1240" w:h="134" w:wrap="auto" w:vAnchor="page" w:hAnchor="page" w:x="10120" w:y="5206"/>
        <w:rPr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  <w:t xml:space="preserve">Kwota (początkowa)</w:t>
      </w:r>
    </w:p>
    <w:p>
      <w:pPr xmlns:w="http://schemas.openxmlformats.org/wordprocessingml/2006/main">
        <w:spacing w:after="0" w:line="202" w:lineRule="auto"/>
        <w:framePr w:w="2400" w:h="134" w:wrap="auto" w:vAnchor="page" w:hAnchor="page" w:x="6440" w:y="5206"/>
        <w:rPr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  <w:t xml:space="preserve">Jednorazowe koszty przy wjeździe lub wyjeździe</w:t>
      </w:r>
    </w:p>
    <w:p>
      <w:pPr xmlns:w="http://schemas.openxmlformats.org/wordprocessingml/2006/main">
        <w:spacing w:after="0" w:line="216" w:lineRule="auto"/>
        <w:framePr w:w="1940" w:h="794" w:wrap="auto" w:vAnchor="page" w:hAnchor="page" w:x="7960" w:y="5446"/>
        <w:rPr>
          <w:rFonts w:ascii="Calibri" w:cs="Calibri" w:eastAsia="Calibri" w:hAnsi="Calibri"/>
          <w:sz w:val="18"/>
          <w:szCs w:val="18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8"/>
          <w:szCs w:val="18"/>
          <w:u w:val="single" w:color="auto"/>
          <w:color w:val="auto"/>
          <w:highlight w:val="lightGray"/>
        </w:rPr>
        <w:t xml:space="preserve">Premia (ustalana przez kupującego i sprzedającego), prowizja (ustalana przez biuro maklerskie)</w:t>
      </w:r>
    </w:p>
    <w:p>
      <w:pPr xmlns:w="http://schemas.openxmlformats.org/wordprocessingml/2006/main">
        <w:spacing w:after="0" w:line="189" w:lineRule="auto"/>
        <w:framePr w:w="1660" w:h="125" w:wrap="auto" w:vAnchor="page" w:hAnchor="page" w:x="6440" w:y="4946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w:t xml:space="preserve">Struktura kosztów</w:t>
      </w:r>
    </w:p>
    <w:p>
      <w:pPr xmlns:w="http://schemas.openxmlformats.org/wordprocessingml/2006/main">
        <w:spacing w:after="0" w:line="202" w:lineRule="auto"/>
        <w:framePr w:w="1500" w:h="134" w:wrap="auto" w:vAnchor="page" w:hAnchor="page" w:x="6440" w:y="4417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w:t xml:space="preserve">Roczny wpływ na koszty</w:t>
      </w:r>
    </w:p>
    <w:p>
      <w:pPr xmlns:w="http://schemas.openxmlformats.org/wordprocessingml/2006/main">
        <w:spacing w:after="0" w:line="202" w:lineRule="auto"/>
        <w:framePr w:w="640" w:h="134" w:wrap="auto" w:vAnchor="page" w:hAnchor="page" w:x="10120" w:y="4417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w:t xml:space="preserve">Różne</w:t>
      </w:r>
    </w:p>
    <w:p>
      <w:pPr xmlns:w="http://schemas.openxmlformats.org/wordprocessingml/2006/main">
        <w:spacing w:after="0" w:line="202" w:lineRule="auto"/>
        <w:framePr w:w="880" w:h="134" w:wrap="auto" w:vAnchor="page" w:hAnchor="page" w:x="6440" w:y="4148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w:t xml:space="preserve">Koszty ogółem</w:t>
      </w:r>
    </w:p>
    <w:p>
      <w:pPr xmlns:w="http://schemas.openxmlformats.org/wordprocessingml/2006/main">
        <w:spacing w:after="0" w:line="202" w:lineRule="auto"/>
        <w:framePr w:w="640" w:h="134" w:wrap="auto" w:vAnchor="page" w:hAnchor="page" w:x="10120" w:y="4148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w:t xml:space="preserve">Różne</w:t>
      </w:r>
    </w:p>
    <w:p>
      <w:pPr xmlns:w="http://schemas.openxmlformats.org/wordprocessingml/2006/main">
        <w:spacing w:after="0" w:line="189" w:lineRule="auto"/>
        <w:framePr w:w="1280" w:h="125" w:wrap="auto" w:vAnchor="page" w:hAnchor="page" w:x="6440" w:y="3885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w:t xml:space="preserve">Koszty W Czasie</w:t>
      </w:r>
    </w:p>
    <w:p>
      <w:pPr xmlns:w="http://schemas.openxmlformats.org/wordprocessingml/2006/main">
        <w:spacing w:after="0" w:line="202" w:lineRule="auto"/>
        <w:framePr w:w="800" w:h="134" w:wrap="auto" w:vAnchor="page" w:hAnchor="page" w:x="10120" w:y="3877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w:t xml:space="preserve">Zakończenie pracy</w:t>
      </w:r>
    </w:p>
    <w:p>
      <w:pPr xmlns:w="http://schemas.openxmlformats.org/wordprocessingml/2006/main">
        <w:ind w:left="220" w:right="60"/>
        <w:spacing w:after="0" w:line="22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459740</wp:posOffset>
                </wp:positionV>
                <wp:extent cx="6903720" cy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9037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8" o:spid="_x0000_s105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36.2pt" to="585.2pt,36.2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1031240</wp:posOffset>
                </wp:positionV>
                <wp:extent cx="6903720" cy="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9037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9" o:spid="_x0000_s105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81.2pt" to="585.2pt,81.2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2401570</wp:posOffset>
                </wp:positionV>
                <wp:extent cx="6903720" cy="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9037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0" o:spid="_x0000_s105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189.1pt" to="585.2pt,189.1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6842760</wp:posOffset>
                </wp:positionV>
                <wp:extent cx="6903720" cy="0"/>
                <wp:wrapNone/>
                <wp:docPr id="31" name="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9037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1" o:spid="_x0000_s105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538.8pt" to="585.2pt,538.8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7871460</wp:posOffset>
                </wp:positionV>
                <wp:extent cx="6903720" cy="0"/>
                <wp:wrapNone/>
                <wp:docPr id="32" name="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9037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2" o:spid="_x0000_s105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619.8pt" to="585.2pt,619.8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531495</wp:posOffset>
                </wp:positionH>
                <wp:positionV relativeFrom="page">
                  <wp:posOffset>457200</wp:posOffset>
                </wp:positionV>
                <wp:extent cx="0" cy="8710930"/>
                <wp:wrapNone/>
                <wp:docPr id="33" name="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7109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3" o:spid="_x0000_s105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85pt,36pt" to="41.85pt,721.9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7429500</wp:posOffset>
                </wp:positionH>
                <wp:positionV relativeFrom="page">
                  <wp:posOffset>457200</wp:posOffset>
                </wp:positionV>
                <wp:extent cx="0" cy="8710930"/>
                <wp:wrapNone/>
                <wp:docPr id="34" name="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7109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4" o:spid="_x0000_s105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85pt,36pt" to="585pt,721.9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być.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Oś pozioma pokazuje możliwe ceny wartości bazowej, a oś pionowa pokazuje zysk lub stratę.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Podane liczby obejmują wszystkie koszty samego produktu, ale mogą nie obejmować wszystkich kosztów, które płacisz swojemu doradcy lub dystrybutorowi i nie uwzględniają Twojej osobistej sytuacji podatkowej, która może również mieć wpływ na to, ile otrzymasz z powrotem.</w:t>
      </w:r>
    </w:p>
    <w:p>
      <w:pPr>
        <w:spacing w:after="0" w:line="161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 xmlns:w="http://schemas.openxmlformats.org/wordprocessingml/2006/main">
        <w:ind w:left="220"/>
        <w:spacing w:after="0" w:line="23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Co się stanie, jeśli OCC nie będzie w stanie wypłacić?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Zasady OCC są tak skonstruowane, że wyniki na wszystkich indeksowych kontraktach terminowych są pomiędzy OCC a grupą firm maklerskich zwanych członkami rozliczającymi, którzy przenoszą pozycje swoich klientów na ich rachunkach OCC.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Członkowie rozliczający są zobowiązani do spełnienia wymogów finansowych UOKiK w zakresie uczestnictwa oraz do ustanowienia zabezpieczenia pozycji swoich klientów.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Biuro maklerskie inwestora może wymagać od inwestora dostarczenia powiązanych zabezpieczeń w związku z pozycjami, jak opisano poniżej.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procesie nowacji prawnej OCC staje się kupującym dla każdego sprzedającego członka rozliczającego, a sprzedającym dla każdego kupującego członka rozliczającego.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System ten ma na celu zarządzanie ryzykiem kontrahenta i ułatwianie rozrachunku transakcji terminowych w przypadku, gdy członek rozliczający nie wywiązuje się ze swoich zobowiązań.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Istnieje jednak ryzyko, że OCC może nie mieć wystarczających środków finansowych na uregulowanie zobowiązań.</w:t>
      </w:r>
    </w:p>
    <w:p>
      <w:pPr>
        <w:spacing w:after="0" w:line="20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3592195</wp:posOffset>
                </wp:positionH>
                <wp:positionV relativeFrom="paragraph">
                  <wp:posOffset>36830</wp:posOffset>
                </wp:positionV>
                <wp:extent cx="2329815" cy="158115"/>
                <wp:wrapNone/>
                <wp:docPr id="35" name="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9815" cy="158115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5" o:spid="_x0000_s1060" style="position:absolute;margin-left:282.85pt;margin-top:2.9pt;width:183.45pt;height:12.4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ADADA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3654425</wp:posOffset>
                </wp:positionH>
                <wp:positionV relativeFrom="paragraph">
                  <wp:posOffset>54610</wp:posOffset>
                </wp:positionV>
                <wp:extent cx="2205355" cy="140335"/>
                <wp:wrapNone/>
                <wp:docPr id="36" name="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5355" cy="140335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6" o:spid="_x0000_s1061" style="position:absolute;margin-left:287.75pt;margin-top:4.3pt;width:173.65pt;height:1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ADADA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5928360</wp:posOffset>
                </wp:positionH>
                <wp:positionV relativeFrom="paragraph">
                  <wp:posOffset>36830</wp:posOffset>
                </wp:positionV>
                <wp:extent cx="960120" cy="158115"/>
                <wp:wrapNone/>
                <wp:docPr id="37" name="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120" cy="158115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7" o:spid="_x0000_s1062" style="position:absolute;margin-left:466.8pt;margin-top:2.9pt;width:75.6pt;height:12.4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ADADA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5996940</wp:posOffset>
                </wp:positionH>
                <wp:positionV relativeFrom="paragraph">
                  <wp:posOffset>54610</wp:posOffset>
                </wp:positionV>
                <wp:extent cx="828675" cy="140335"/>
                <wp:wrapNone/>
                <wp:docPr id="38" name="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140335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8" o:spid="_x0000_s1063" style="position:absolute;margin-left:472.2pt;margin-top:4.3pt;width:65.25pt;height:1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ADADA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3579495</wp:posOffset>
                </wp:positionH>
                <wp:positionV relativeFrom="paragraph">
                  <wp:posOffset>30480</wp:posOffset>
                </wp:positionV>
                <wp:extent cx="3321050" cy="0"/>
                <wp:wrapNone/>
                <wp:docPr id="39" name="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9" o:spid="_x0000_s106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81.85pt,2.4pt" to="543.35pt,2.4pt" o:allowincell="f" strokecolor="#000000" strokeweight="0.96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3579495</wp:posOffset>
                </wp:positionH>
                <wp:positionV relativeFrom="paragraph">
                  <wp:posOffset>200660</wp:posOffset>
                </wp:positionV>
                <wp:extent cx="3321050" cy="0"/>
                <wp:wrapNone/>
                <wp:docPr id="40" name="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0" o:spid="_x0000_s106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81.85pt,15.8pt" to="543.35pt,15.8pt" o:allowincell="f" strokecolor="#000000" strokeweight="0.96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3579495</wp:posOffset>
                </wp:positionH>
                <wp:positionV relativeFrom="paragraph">
                  <wp:posOffset>373380</wp:posOffset>
                </wp:positionV>
                <wp:extent cx="3321050" cy="0"/>
                <wp:wrapNone/>
                <wp:docPr id="41" name="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1" o:spid="_x0000_s106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81.85pt,29.4pt" to="543.35pt,29.4pt" o:allowincell="f" strokecolor="#000000" strokeweight="0.96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5929630</wp:posOffset>
                </wp:positionH>
                <wp:positionV relativeFrom="paragraph">
                  <wp:posOffset>24130</wp:posOffset>
                </wp:positionV>
                <wp:extent cx="0" cy="519430"/>
                <wp:wrapNone/>
                <wp:docPr id="42" name="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5194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2" o:spid="_x0000_s106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66.9pt,1.9pt" to="466.9pt,42.8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6894195</wp:posOffset>
                </wp:positionH>
                <wp:positionV relativeFrom="paragraph">
                  <wp:posOffset>24130</wp:posOffset>
                </wp:positionV>
                <wp:extent cx="0" cy="519430"/>
                <wp:wrapNone/>
                <wp:docPr id="43" name="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5194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3" o:spid="_x0000_s106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42.85pt,1.9pt" to="542.85pt,42.8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3585845</wp:posOffset>
                </wp:positionH>
                <wp:positionV relativeFrom="paragraph">
                  <wp:posOffset>24130</wp:posOffset>
                </wp:positionV>
                <wp:extent cx="0" cy="519430"/>
                <wp:wrapNone/>
                <wp:docPr id="44" name="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5194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4" o:spid="_x0000_s106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82.35pt,1.9pt" to="282.35pt,42.8pt" o:allowincell="f" strokecolor="#000000" strokeweight="0.9599pt"/>
            </w:pict>
          </mc:Fallback>
        </mc:AlternateContent>
      </w:r>
    </w:p>
    <w:p>
      <w:pPr>
        <w:spacing w:after="0" w:line="61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 xmlns:w="http://schemas.openxmlformats.org/wordprocessingml/2006/main">
        <w:ind w:left="220" w:right="5400"/>
        <w:spacing w:after="0" w:line="2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Jakie są koszty?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Osoba doradzająca lub sprzedająca Ci ten produkt może naliczyć Ci inne koszty.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Jeśli tak, ta osoba</w:t>
      </w:r>
    </w:p>
    <w:p>
      <w:pPr>
        <w:spacing w:after="0" w:line="68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 xmlns:w="http://schemas.openxmlformats.org/wordprocessingml/2006/main">
        <w:ind w:left="220" w:right="5620"/>
        <w:spacing w:after="0" w:line="2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przekaże Ci informacje o tych kosztach i ich wpływie na Twoją inwestycję.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Łączne koszty</w:t>
      </w:r>
    </w:p>
    <w:p>
      <w:pPr>
        <w:spacing w:after="0" w:line="20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3579495</wp:posOffset>
                </wp:positionH>
                <wp:positionV relativeFrom="paragraph">
                  <wp:posOffset>-149860</wp:posOffset>
                </wp:positionV>
                <wp:extent cx="3321050" cy="0"/>
                <wp:wrapNone/>
                <wp:docPr id="45" name="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5" o:spid="_x0000_s107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81.85pt,-11.7999pt" to="543.35pt,-11.7999pt" o:allowincell="f" strokecolor="#000000" strokeweight="0.48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3592195</wp:posOffset>
                </wp:positionH>
                <wp:positionV relativeFrom="paragraph">
                  <wp:posOffset>19050</wp:posOffset>
                </wp:positionV>
                <wp:extent cx="3296285" cy="158750"/>
                <wp:wrapNone/>
                <wp:docPr id="46" name="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6285" cy="158750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6" o:spid="_x0000_s1071" style="position:absolute;margin-left:282.85pt;margin-top:1.5pt;width:259.55pt;height:12.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ADADA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3654425</wp:posOffset>
                </wp:positionH>
                <wp:positionV relativeFrom="paragraph">
                  <wp:posOffset>36830</wp:posOffset>
                </wp:positionV>
                <wp:extent cx="3171190" cy="140335"/>
                <wp:wrapNone/>
                <wp:docPr id="47" name="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1190" cy="140335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7" o:spid="_x0000_s1072" style="position:absolute;margin-left:287.75pt;margin-top:2.9pt;width:249.7pt;height:1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ADADA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3579495</wp:posOffset>
                </wp:positionH>
                <wp:positionV relativeFrom="paragraph">
                  <wp:posOffset>13970</wp:posOffset>
                </wp:positionV>
                <wp:extent cx="3321050" cy="0"/>
                <wp:wrapNone/>
                <wp:docPr id="48" name="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8" o:spid="_x0000_s107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81.85pt,1.1pt" to="543.35pt,1.1pt" o:allowincell="f" strokecolor="#000000" strokeweight="0.47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3579495</wp:posOffset>
                </wp:positionH>
                <wp:positionV relativeFrom="paragraph">
                  <wp:posOffset>183515</wp:posOffset>
                </wp:positionV>
                <wp:extent cx="3321050" cy="0"/>
                <wp:wrapNone/>
                <wp:docPr id="49" name="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9" o:spid="_x0000_s107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81.85pt,14.45pt" to="543.35pt,14.45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3579495</wp:posOffset>
                </wp:positionH>
                <wp:positionV relativeFrom="paragraph">
                  <wp:posOffset>354330</wp:posOffset>
                </wp:positionV>
                <wp:extent cx="3321050" cy="0"/>
                <wp:wrapNone/>
                <wp:docPr id="50" name="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0" o:spid="_x0000_s107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81.85pt,27.9pt" to="543.35pt,27.9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3579495</wp:posOffset>
                </wp:positionH>
                <wp:positionV relativeFrom="paragraph">
                  <wp:posOffset>925830</wp:posOffset>
                </wp:positionV>
                <wp:extent cx="3321050" cy="0"/>
                <wp:wrapNone/>
                <wp:docPr id="51" name="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1" o:spid="_x0000_s107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81.85pt,72.9pt" to="543.35pt,72.9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347980</wp:posOffset>
                </wp:positionV>
                <wp:extent cx="0" cy="1014730"/>
                <wp:wrapNone/>
                <wp:docPr id="52" name="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10147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2" o:spid="_x0000_s107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58.9pt,27.4pt" to="358.9pt,107.3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3579495</wp:posOffset>
                </wp:positionH>
                <wp:positionV relativeFrom="paragraph">
                  <wp:posOffset>1356995</wp:posOffset>
                </wp:positionV>
                <wp:extent cx="3321050" cy="0"/>
                <wp:wrapNone/>
                <wp:docPr id="53" name="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3" o:spid="_x0000_s107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81.85pt,106.85pt" to="543.35pt,106.85pt" o:allowincell="f" strokecolor="#000000" strokeweight="0.96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3579495</wp:posOffset>
                </wp:positionH>
                <wp:positionV relativeFrom="paragraph">
                  <wp:posOffset>1647825</wp:posOffset>
                </wp:positionV>
                <wp:extent cx="3321050" cy="0"/>
                <wp:wrapNone/>
                <wp:docPr id="54" name="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4" o:spid="_x0000_s107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81.85pt,129.75pt" to="543.35pt,129.75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3579495</wp:posOffset>
                </wp:positionH>
                <wp:positionV relativeFrom="paragraph">
                  <wp:posOffset>2219325</wp:posOffset>
                </wp:positionV>
                <wp:extent cx="3321050" cy="0"/>
                <wp:wrapNone/>
                <wp:docPr id="55" name="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5" o:spid="_x0000_s108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81.85pt,174.75pt" to="543.35pt,174.75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1642110</wp:posOffset>
                </wp:positionV>
                <wp:extent cx="0" cy="1014730"/>
                <wp:wrapNone/>
                <wp:docPr id="56" name="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10147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6" o:spid="_x0000_s108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58.9pt,129.3pt" to="358.9pt,209.2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3579495</wp:posOffset>
                </wp:positionH>
                <wp:positionV relativeFrom="paragraph">
                  <wp:posOffset>2650490</wp:posOffset>
                </wp:positionV>
                <wp:extent cx="3321050" cy="0"/>
                <wp:wrapNone/>
                <wp:docPr id="57" name="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7" o:spid="_x0000_s108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81.85pt,208.7pt" to="543.35pt,208.7pt" o:allowincell="f" strokecolor="#000000" strokeweight="0.96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3579495</wp:posOffset>
                </wp:positionH>
                <wp:positionV relativeFrom="paragraph">
                  <wp:posOffset>2846070</wp:posOffset>
                </wp:positionV>
                <wp:extent cx="3321050" cy="0"/>
                <wp:wrapNone/>
                <wp:docPr id="58" name="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8" o:spid="_x0000_s108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81.85pt,224.1pt" to="543.35pt,224.1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3585845</wp:posOffset>
                </wp:positionH>
                <wp:positionV relativeFrom="paragraph">
                  <wp:posOffset>11430</wp:posOffset>
                </wp:positionV>
                <wp:extent cx="0" cy="3037205"/>
                <wp:wrapNone/>
                <wp:docPr id="59" name="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30372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9" o:spid="_x0000_s108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82.35pt,0.9pt" to="282.35pt,240.05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6894195</wp:posOffset>
                </wp:positionH>
                <wp:positionV relativeFrom="paragraph">
                  <wp:posOffset>11430</wp:posOffset>
                </wp:positionV>
                <wp:extent cx="0" cy="3037205"/>
                <wp:wrapNone/>
                <wp:docPr id="60" name="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30372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0" o:spid="_x0000_s108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42.85pt,0.9pt" to="542.85pt,240.05pt" o:allowincell="f" strokecolor="#000000" strokeweight="0.9599pt"/>
            </w:pict>
          </mc:Fallback>
        </mc:AlternateContent>
      </w:r>
    </w:p>
    <w:p>
      <w:pPr>
        <w:spacing w:after="0" w:line="48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 xmlns:w="http://schemas.openxmlformats.org/wordprocessingml/2006/main">
        <w:ind w:left="220" w:right="5400"/>
        <w:spacing w:after="0" w:line="233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Kontrakty terminowe na indeksy zależą od wielu czynników.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Wymóg dotyczący początkowego depozytu zabezpieczającego to kwota, którą inwestor musi zdeponować u swojego brokera, aby móc zawrzeć kontrakt terminowy na indeksy.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Kwota ta jest zasadniczo równa określonemu procentowi bieżącej wartości rynkowej zamówienia.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Kontrakt terminowy na indeksy również jest wyceniany według wartości rynkowej co najmniej raz dziennie, a rachunek każdego kupującego będzie odzwierciedlał kwotę wszelkich zysków lub strat z tytułu tego kontraktu w oparciu o dzienny kurs rozliczeniowy kontraktu oraz</w:t>
      </w:r>
    </w:p>
    <w:p>
      <w:pPr>
        <w:spacing w:after="0" w:line="20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3592195</wp:posOffset>
                </wp:positionH>
                <wp:positionV relativeFrom="paragraph">
                  <wp:posOffset>-1342390</wp:posOffset>
                </wp:positionV>
                <wp:extent cx="2329815" cy="158115"/>
                <wp:wrapNone/>
                <wp:docPr id="61" name="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9815" cy="158115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61" o:spid="_x0000_s1086" style="position:absolute;margin-left:282.85pt;margin-top:-105.6999pt;width:183.45pt;height:12.4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ADADA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3654425</wp:posOffset>
                </wp:positionH>
                <wp:positionV relativeFrom="paragraph">
                  <wp:posOffset>-1323340</wp:posOffset>
                </wp:positionV>
                <wp:extent cx="2205355" cy="139065"/>
                <wp:wrapNone/>
                <wp:docPr id="62" name="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5355" cy="139065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62" o:spid="_x0000_s1087" style="position:absolute;margin-left:287.75pt;margin-top:-104.1999pt;width:173.65pt;height:1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ADADA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5928360</wp:posOffset>
                </wp:positionH>
                <wp:positionV relativeFrom="paragraph">
                  <wp:posOffset>-1342390</wp:posOffset>
                </wp:positionV>
                <wp:extent cx="960120" cy="158115"/>
                <wp:wrapNone/>
                <wp:docPr id="63" name="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120" cy="158115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63" o:spid="_x0000_s1088" style="position:absolute;margin-left:466.8pt;margin-top:-105.6999pt;width:75.6pt;height:12.4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ADADA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5996940</wp:posOffset>
                </wp:positionH>
                <wp:positionV relativeFrom="paragraph">
                  <wp:posOffset>-1323340</wp:posOffset>
                </wp:positionV>
                <wp:extent cx="828675" cy="139065"/>
                <wp:wrapNone/>
                <wp:docPr id="64" name="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139065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64" o:spid="_x0000_s1089" style="position:absolute;margin-left:472.2pt;margin-top:-104.1999pt;width:65.25pt;height:1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ADADA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3592195</wp:posOffset>
                </wp:positionH>
                <wp:positionV relativeFrom="paragraph">
                  <wp:posOffset>-168910</wp:posOffset>
                </wp:positionV>
                <wp:extent cx="2329815" cy="278130"/>
                <wp:wrapNone/>
                <wp:docPr id="65" name="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9815" cy="278130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65" o:spid="_x0000_s1090" style="position:absolute;margin-left:282.85pt;margin-top:-13.2999pt;width:183.45pt;height:21.9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ADADA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3654425</wp:posOffset>
                </wp:positionH>
                <wp:positionV relativeFrom="paragraph">
                  <wp:posOffset>-21590</wp:posOffset>
                </wp:positionV>
                <wp:extent cx="2205355" cy="130175"/>
                <wp:wrapNone/>
                <wp:docPr id="66" name="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5355" cy="130175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66" o:spid="_x0000_s1091" style="position:absolute;margin-left:287.75pt;margin-top:-1.6999pt;width:173.65pt;height:10.2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ADADA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5928360</wp:posOffset>
                </wp:positionH>
                <wp:positionV relativeFrom="paragraph">
                  <wp:posOffset>-168910</wp:posOffset>
                </wp:positionV>
                <wp:extent cx="960120" cy="278130"/>
                <wp:wrapNone/>
                <wp:docPr id="67" name="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120" cy="278130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67" o:spid="_x0000_s1092" style="position:absolute;margin-left:466.8pt;margin-top:-13.2999pt;width:75.6pt;height:21.9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ADADA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5928360</wp:posOffset>
                </wp:positionH>
                <wp:positionV relativeFrom="paragraph">
                  <wp:posOffset>1123950</wp:posOffset>
                </wp:positionV>
                <wp:extent cx="960120" cy="182880"/>
                <wp:wrapNone/>
                <wp:docPr id="68" name="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120" cy="182880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68" o:spid="_x0000_s1093" style="position:absolute;margin-left:466.8pt;margin-top:88.5pt;width:75.6pt;height:14.4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ADADA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5996940</wp:posOffset>
                </wp:positionH>
                <wp:positionV relativeFrom="paragraph">
                  <wp:posOffset>1170940</wp:posOffset>
                </wp:positionV>
                <wp:extent cx="828675" cy="135890"/>
                <wp:wrapNone/>
                <wp:docPr id="69" name="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135890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69" o:spid="_x0000_s1094" style="position:absolute;margin-left:472.2pt;margin-top:92.2pt;width:65.25pt;height:10.7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ADADA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5929630</wp:posOffset>
                </wp:positionH>
                <wp:positionV relativeFrom="paragraph">
                  <wp:posOffset>-1355090</wp:posOffset>
                </wp:positionV>
                <wp:extent cx="0" cy="2870835"/>
                <wp:wrapNone/>
                <wp:docPr id="70" name="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28708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0" o:spid="_x0000_s109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66.9pt,-106.6999pt" to="466.9pt,119.35pt" o:allowincell="f" strokecolor="#000000" strokeweight="0.9599pt"/>
            </w:pict>
          </mc:Fallback>
        </mc:AlternateContent>
      </w:r>
    </w:p>
    <w:p>
      <w:pPr>
        <w:spacing w:after="0" w:line="50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 xmlns:w="http://schemas.openxmlformats.org/wordprocessingml/2006/main">
        <w:ind w:left="220" w:right="5460"/>
        <w:spacing w:after="0" w:line="23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Mogą być wymagane dodatkowe depozyty zmiennego depozytu zabezpieczającego.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Poszczególne biura maklerskie mogą również wymagać dodatkowego depozytu zabezpieczającego, wykraczającego poza depozyt wymagany przez OCC i giełdę kontraktów terminowych.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Czynniki mające istotny wpływ na wartość rynkową przyszłego indeksu obejmują między innymi cenę instrumentu bazowego, wypłatę dywidendy oraz okres do terminu zapadalności.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Inwestowanie w kontrakty terminowe wiąże się z dodatkowymi kosztami, które obejmują kwestie podatkowe, koszty transakcyjne</w:t>
      </w:r>
    </w:p>
    <w:p>
      <w:pPr>
        <w:spacing w:after="0" w:line="20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-55880</wp:posOffset>
                </wp:positionV>
                <wp:extent cx="0" cy="208280"/>
                <wp:wrapNone/>
                <wp:docPr id="71" name="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2082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1" o:spid="_x0000_s109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58.9pt,-4.3999pt" to="358.9pt,12pt" o:allowincell="f" strokecolor="#000000" strokeweight="0.9599pt"/>
            </w:pict>
          </mc:Fallback>
        </mc:AlternateContent>
      </w:r>
    </w:p>
    <w:p>
      <w:pPr xmlns:w="http://schemas.openxmlformats.org/wordprocessingml/2006/main">
        <w:ind w:left="2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i wymogów dotyczących depozytu zabezpieczającego, które mogą mieć istotny wpływ na</w:t>
      </w:r>
    </w:p>
    <w:p>
      <w:pPr>
        <w:spacing w:after="0" w:line="20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3579495</wp:posOffset>
                </wp:positionH>
                <wp:positionV relativeFrom="paragraph">
                  <wp:posOffset>-26670</wp:posOffset>
                </wp:positionV>
                <wp:extent cx="3321050" cy="0"/>
                <wp:wrapNone/>
                <wp:docPr id="72" name="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2" o:spid="_x0000_s109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81.85pt,-2.0999pt" to="543.35pt,-2.0999pt" o:allowincell="f" strokecolor="#000000" strokeweight="0.96pt"/>
            </w:pict>
          </mc:Fallback>
        </mc:AlternateContent>
      </w:r>
    </w:p>
    <w:p>
      <w:pPr>
        <w:spacing w:after="0" w:line="47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 xmlns:w="http://schemas.openxmlformats.org/wordprocessingml/2006/main">
        <w:ind w:left="220" w:right="120"/>
        <w:spacing w:after="0" w:line="22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zysku lub straty.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Koszty transakcyjne obejmują głównie prowizje, ale mogą również obejmować koszty marży i odsetek.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Jeżeli inwestor zlikwiduje pozycję kontraktu terminowego na indeks, może ponieść dodatkowe koszty.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Niezależnie od kosztów inwestorskich, OCC pobiera związane z tym opłaty za rozliczenie tego produktu swoim członkom rozliczającym, ale nie bezpośrednio Tobie: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https://www.theocc.com/company-information/schedule-of-fees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.</w:t>
      </w:r>
    </w:p>
    <w:p>
      <w:pPr>
        <w:spacing w:after="0" w:line="11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 xmlns:w="http://schemas.openxmlformats.org/wordprocessingml/2006/main">
        <w:ind w:left="2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Jak długo mam go trzymać i czy mogę wcześnie wyjść z transakcji (czy mogę wcześniej wyjąć pieniądze)?</w:t>
      </w:r>
    </w:p>
    <w:p>
      <w:pPr>
        <w:spacing w:after="0" w:line="67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 xmlns:w="http://schemas.openxmlformats.org/wordprocessingml/2006/main">
        <w:ind w:left="220" w:right="60"/>
        <w:spacing w:after="0" w:line="22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Zalecany okres przechowywania: Brak.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 ponoszą wyłączną odpowiedzialność za ustalenie, czy i kiedy powinni zamknąć indeksową pozycję terminową, czy też utrzymywać tę pozycję do terminu jej zapadalności.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Inwestorzy, którzy zamykają pozycję kontraktów terminowych na indeksy, rezygnują z wszelkich późniejszych zysków lub strat związanych z tą pozycją.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Wszystkie kontrakty terminowe na indeksy mają termin zapadalności, po którym kontrakt przestaje istnieć.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 może zamknąć otwartą pozycję w kontrakcie terminowym na indeksy poprzez zawarcie transakcji kompensacyjnej przed terminem zapadalności kontraktu.</w:t>
      </w:r>
    </w:p>
    <w:p>
      <w:pPr>
        <w:spacing w:after="0" w:line="81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 xmlns:w="http://schemas.openxmlformats.org/wordprocessingml/2006/main">
        <w:ind w:left="220" w:right="120"/>
        <w:spacing w:after="0" w:line="22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Jak mogę złożyć skargę?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 mogą kontaktować się z OCC pod adresem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investorservices@theocc.com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 mogą również złożyć skargę do NFA (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https://www.nfa.futures.org/basicnet/complaint.aspx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) lub CFTC (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http://www.cftc.gov/ConsumerProtection/FileaTiporComplaint/index.htm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).</w:t>
      </w:r>
    </w:p>
    <w:p>
      <w:pPr>
        <w:sectPr>
          <w:pgSz w:w="12240" w:h="15840" w:orient="portrait"/>
          <w:cols w:equalWidth="0" w:num="1">
            <w:col w:w="10840"/>
          </w:cols>
          <w:pgMar w:left="720" w:top="774" w:right="680" w:bottom="590" w:gutter="0" w:footer="0" w:header="0"/>
        </w:sectPr>
      </w:pPr>
    </w:p>
    <w:p>
      <w:pPr>
        <w:spacing w:after="0" w:line="5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 xmlns:w="http://schemas.openxmlformats.org/wordprocessingml/2006/main">
        <w:ind w:left="3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0"/>
          <w:szCs w:val="20"/>
          <w:color w:val="auto"/>
        </w:rPr>
        <w:t xml:space="preserve">Krajowe Stowarzyszenie Kontraktów Terminowych</w:t>
      </w:r>
    </w:p>
    <w:p>
      <w:pPr>
        <w:spacing w:after="0" w:line="1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 xmlns:w="http://schemas.openxmlformats.org/wordprocessingml/2006/main">
        <w:ind w:left="3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0"/>
          <w:szCs w:val="20"/>
          <w:color w:val="auto"/>
        </w:rPr>
        <w:t xml:space="preserve">300 S. Riverside Plaza, #1800</w:t>
      </w:r>
    </w:p>
    <w:p>
      <w:pPr xmlns:w="http://schemas.openxmlformats.org/wordprocessingml/2006/main">
        <w:ind w:left="340"/>
        <w:spacing w:after="0" w:line="23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0"/>
          <w:szCs w:val="20"/>
          <w:color w:val="auto"/>
        </w:rPr>
        <w:t xml:space="preserve">Chicago, IL 60606-6615</w:t>
      </w:r>
    </w:p>
    <w:p>
      <w:pPr>
        <w:spacing w:after="0" w:line="13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 xmlns:w="http://schemas.openxmlformats.org/wordprocessingml/2006/main">
        <w:ind w:left="3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9"/>
          <w:szCs w:val="19"/>
          <w:color w:val="auto"/>
        </w:rPr>
        <w:t xml:space="preserve">Telefon: 312-781-1300 Faks: 312-781-1467</w:t>
      </w:r>
    </w:p>
    <w:p>
      <w:pPr xmlns:w="http://schemas.openxmlformats.org/wordprocessingml/2006/main">
        <w:spacing w:after="0" w:line="20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w:br xmlns:w="http://schemas.openxmlformats.org/wordprocessingml/2006/main" w:type="column"/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9"/>
          <w:szCs w:val="19"/>
          <w:color w:val="auto"/>
        </w:rPr>
        <w:t xml:space="preserve">Komisja Handlu Kontraktami Terminowymi Na Towary W Usa</w:t>
      </w:r>
    </w:p>
    <w:p>
      <w:pPr>
        <w:spacing w:after="0" w:line="1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0"/>
          <w:szCs w:val="20"/>
          <w:color w:val="auto"/>
        </w:rPr>
        <w:t xml:space="preserve">Centrum Trzech Lafayette</w:t>
      </w:r>
    </w:p>
    <w:p>
      <w:pPr xmlns:w="http://schemas.openxmlformats.org/wordprocessingml/2006/main">
        <w:spacing w:after="0" w:line="23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0"/>
          <w:szCs w:val="20"/>
          <w:color w:val="auto"/>
        </w:rPr>
        <w:t xml:space="preserve">1155 21st Street, NW</w:t>
      </w:r>
    </w:p>
    <w:p>
      <w:pPr>
        <w:spacing w:after="0" w:line="1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0"/>
          <w:szCs w:val="20"/>
          <w:color w:val="auto"/>
        </w:rPr>
        <w:t xml:space="preserve">Waszyngton, DC 20581</w:t>
      </w:r>
    </w:p>
    <w:p>
      <w:pPr>
        <w:spacing w:after="0" w:line="1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0"/>
          <w:szCs w:val="20"/>
          <w:color w:val="auto"/>
        </w:rPr>
        <w:t xml:space="preserve">Telefon: 866-366-2382 Faks: 202-418-5521</w:t>
      </w:r>
    </w:p>
    <w:p>
      <w:pPr>
        <w:spacing w:after="0" w:line="20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-2798445</wp:posOffset>
                </wp:positionH>
                <wp:positionV relativeFrom="paragraph">
                  <wp:posOffset>14605</wp:posOffset>
                </wp:positionV>
                <wp:extent cx="6903085" cy="0"/>
                <wp:wrapNone/>
                <wp:docPr id="73" name="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030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3" o:spid="_x0000_s109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20.3499pt,1.15pt" to="323.2pt,1.15pt" o:allowincell="f" strokecolor="#000000" strokeweight="0.4799pt"/>
            </w:pict>
          </mc:Fallback>
        </mc:AlternateContent>
      </w:r>
    </w:p>
    <w:p>
      <w:pPr>
        <w:spacing w:after="0" w:line="7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>
        <w:sectPr>
          <w:pgSz w:w="12240" w:h="15840" w:orient="portrait"/>
          <w:cols w:equalWidth="0" w:num="2">
            <w:col w:w="3800" w:space="720"/>
            <w:col w:w="6320"/>
          </w:cols>
          <w:pgMar w:left="720" w:top="774" w:right="680" w:bottom="590" w:gutter="0" w:footer="0" w:header="0"/>
          <w:type w:val="continuous"/>
        </w:sect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©2023 The Options Clearing Corporation.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Wszelkie prawa zastrzeżone.</w:t>
      </w:r>
    </w:p>
    <w:sectPr>
      <w:pgSz w:w="12240" w:h="15840" w:orient="portrait"/>
      <w:cols w:equalWidth="0" w:num="1">
        <w:col w:w="10840"/>
      </w:cols>
      <w:pgMar w:left="720" w:top="774" w:right="680" w:bottom="59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auto"/>
    <w:pitch w:val="variable"/>
    <w:sig w:usb0="00000000" w:usb1="0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w:abstractNumId="0">
    <w:nsid w:val="1339EB5C"/>
    <w:multiLevelType w:val="hybridMultilevel"/>
    <w:lvl w:ilvl="0">
      <w:lvlJc w:val="left"/>
      <w:lvlText w:val="·"/>
      <w:numFmt w:val="bullet"/>
      <w:start w:val="1"/>
    </w:lvl>
  </w:abstractNum>
  <w:abstractNum w:abstractNumId="1">
    <w:nsid w:val="7D07031A"/>
    <w:multiLevelType w:val="hybridMultilevel"/>
    <w:lvl w:ilvl="0">
      <w:lvlJc w:val="left"/>
      <w:lvlText w:val="·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webSettings" Target="webSettings.xml"/><Relationship Id="rId11" Type="http://schemas.openxmlformats.org/officeDocument/2006/relationships/numbering" Target="numbering.xml"/><Relationship Id="rId12" Type="http://schemas.openxmlformats.org/officeDocument/2006/relationships/image" Target="media/image1.jpeg"/><Relationship Id="rId13" Type="http://schemas.openxmlformats.org/officeDocument/2006/relationships/image" Target="media/image2.jpeg"/><Relationship Id="rId14" Type="http://schemas.openxmlformats.org/officeDocument/2006/relationships/image" Target="media/image3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2024-05-21T09:03:24Z</dcterms:created>
  <dcterms:modified xsi:type="dcterms:W3CDTF">2024-05-21T09:03:24Z</dcterms:modified>
</cp:coreProperties>
</file>