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626110</wp:posOffset>
                </wp:positionH>
                <wp:positionV relativeFrom="page">
                  <wp:posOffset>463550</wp:posOffset>
                </wp:positionV>
                <wp:extent cx="6798945" cy="49657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798945" cy="496570"/>
                        </a:xfrm>
                        <a:prstGeom prst="rect">
                          <a:avLst/>
                        </a:prstGeom>
                        <a:solidFill>
                          <a:srgbClr val="1F4E79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xmlns:v="urn:schemas-microsoft-com:vml" id="Shape 1" o:spid="_x0000_s1026" style="position:absolute;margin-left:49.3pt;margin-top:36.5pt;width:535.35pt;height:39.1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1F4E79" stroked="f">
                <w10:wrap xmlns:w10="urn:schemas-microsoft-com:office:word" anchorx="page" anchory="page"/>
              </v:rect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673735</wp:posOffset>
                </wp:positionH>
                <wp:positionV relativeFrom="page">
                  <wp:posOffset>463550</wp:posOffset>
                </wp:positionV>
                <wp:extent cx="6703695" cy="49657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703695" cy="4965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xmlns:v="urn:schemas-microsoft-com:vml" id="Shape 2" o:spid="_x0000_s1027" style="position:absolute;margin-left:53.05pt;margin-top:36.5pt;width:527.85pt;height:39.1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000000" stroked="f">
                <w10:wrap xmlns:w10="urn:schemas-microsoft-com:office:word" anchorx="page" anchory="page"/>
              </v:rect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619760</wp:posOffset>
                </wp:positionH>
                <wp:positionV relativeFrom="page">
                  <wp:posOffset>459740</wp:posOffset>
                </wp:positionV>
                <wp:extent cx="6811010" cy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8110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3" o:spid="_x0000_s102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8.8pt,36.2pt" to="585.1pt,36.2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619760</wp:posOffset>
                </wp:positionH>
                <wp:positionV relativeFrom="page">
                  <wp:posOffset>962660</wp:posOffset>
                </wp:positionV>
                <wp:extent cx="6811010" cy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8110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4" o:spid="_x0000_s102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8.8pt,75.8pt" to="585.1pt,75.8pt" o:allowincell="f" strokecolor="#000000" strokeweight="0.48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619760</wp:posOffset>
                </wp:positionH>
                <wp:positionV relativeFrom="page">
                  <wp:posOffset>1837690</wp:posOffset>
                </wp:positionV>
                <wp:extent cx="6811010" cy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8110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5" o:spid="_x0000_s103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8.8pt,144.7pt" to="585.1pt,144.7pt" o:allowincell="f" strokecolor="#000000" strokeweight="0.48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619760</wp:posOffset>
                </wp:positionH>
                <wp:positionV relativeFrom="page">
                  <wp:posOffset>3052445</wp:posOffset>
                </wp:positionV>
                <wp:extent cx="6811010" cy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8110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6" o:spid="_x0000_s103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8.8pt,240.35pt" to="585.1pt,240.3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619760</wp:posOffset>
                </wp:positionH>
                <wp:positionV relativeFrom="page">
                  <wp:posOffset>3911600</wp:posOffset>
                </wp:positionV>
                <wp:extent cx="6811010" cy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8110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7" o:spid="_x0000_s103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8.8pt,308pt" to="585.1pt,308pt" o:allowincell="f" strokecolor="#000000" strokeweight="0.48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622935</wp:posOffset>
                </wp:positionH>
                <wp:positionV relativeFrom="page">
                  <wp:posOffset>457200</wp:posOffset>
                </wp:positionV>
                <wp:extent cx="0" cy="838200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3820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8" o:spid="_x0000_s103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9.05pt,36pt" to="49.05pt,696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7427595</wp:posOffset>
                </wp:positionH>
                <wp:positionV relativeFrom="page">
                  <wp:posOffset>457200</wp:posOffset>
                </wp:positionV>
                <wp:extent cx="0" cy="838200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3820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9" o:spid="_x0000_s103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84.85pt,36pt" to="584.85pt,696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w:t xml:space="preserve">Kluczowe informacje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w:t xml:space="preserve">Dokument - Standardowa Opcja Na Akcje (Long Put)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-59055</wp:posOffset>
                </wp:positionH>
                <wp:positionV relativeFrom="paragraph">
                  <wp:posOffset>25400</wp:posOffset>
                </wp:positionV>
                <wp:extent cx="6798310" cy="86868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8310" cy="868680"/>
                        </a:xfrm>
                        <a:prstGeom prst="rect">
                          <a:avLst/>
                        </a:prstGeom>
                        <a:solidFill>
                          <a:srgbClr val="9CC2E5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0" o:spid="_x0000_s1035" style="position:absolute;margin-left:-4.6499pt;margin-top:2pt;width:535.3pt;height:68.4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9CC2E5" stroked="f"/>
            </w:pict>
          </mc:Fallback>
        </mc:AlternateContent>
      </w: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Przeznaczenie</w:t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2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Niniejszy dokument zawiera kluczowe informacje na temat tego produktu inwestycyjnego.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Nie jest to materiał marketingowy.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Informacje te są wymagane przez prawo, aby pomóc Ci zrozumieć charakter, ryzyko, koszty, potencjalne zyski i straty tego produktu oraz aby pomóc Ci porównać go z innymi produktami.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Jest to dokument wyłącznie angielski, nieupoważniony do tłumaczenia na inny język.</w:t>
      </w:r>
    </w:p>
    <w:p>
      <w:pPr>
        <w:spacing w:after="0" w:line="10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Produkt</w:t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20"/>
        <w:spacing w:after="0" w:line="229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Standardowe Opcje Na Akcje W Stanach Zjednoczonych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Options Clearing Corporation ("OCC") przedstawia niniejszy dokument na podstawie Rozporządzenia UE nr 1286/2014 dla standardowych opcji na akcje (a/k/a "opcje notowane").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Standardowe opcje na akcje są notowane i są przedmiotem obrotu na amerykańskich giełdach opcji zarejestrowanych w amerykańskiej Komisji Papierów Wartościowych i Giełd ("SEC") i są emitowane, rozliczane i rozliczane przez OCC, agencję rozliczeniową zarejestrowaną w SEC.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Więcej informacji, w tym dane kontaktowe amerykańskich giełd opcji, inwestorzy mogą znaleźć na stronie internetowej OCC pod adresem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www.theocc.com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lub skontaktować się z OCC pod numerem 1-312-322-6200.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Zaktualizowany 28 grudnia 2022 i 20 kwietnia 2023.</w:t>
      </w:r>
    </w:p>
    <w:p>
      <w:pPr>
        <w:spacing w:after="0" w:line="83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160"/>
        <w:spacing w:after="0" w:line="22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Alert.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Zamierzasz kupić produkt, który nie jest prosty i może być trudny do zrozumienia.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 nie powinni handlować standardowymi opcjami na akcje, dopóki nie przeczytają i nie zrozumieją tego dokumentu i powiązanego dokumentu ujawniającego informacje na temat ryzyka, który jest przedkładany SEC,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auto"/>
        </w:rPr>
        <w:t xml:space="preserve">Charakterystyka i ryzyko opcji standardowych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, zwanego również dokumentem ujawniającym informacje na temat opcji ("ODD")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i w:val="1"/>
          <w:iCs w:val="1"/>
          <w:color w:val="auto"/>
        </w:rPr>
        <w:t xml:space="preserve">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Ujawnienia w niniejszym dokumencie należy interpretować w sposób zgodny z ODD,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https://www.theocc.com/components/docs/riskstoc.pdf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-59055</wp:posOffset>
                </wp:positionH>
                <wp:positionV relativeFrom="paragraph">
                  <wp:posOffset>20955</wp:posOffset>
                </wp:positionV>
                <wp:extent cx="6798310" cy="4918075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8310" cy="4918075"/>
                        </a:xfrm>
                        <a:prstGeom prst="rect">
                          <a:avLst/>
                        </a:prstGeom>
                        <a:solidFill>
                          <a:srgbClr val="BDD6EE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1" o:spid="_x0000_s1036" style="position:absolute;margin-left:-4.6499pt;margin-top:1.65pt;width:535.3pt;height:387.2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BDD6EE" stroked="f"/>
            </w:pict>
          </mc:Fallback>
        </mc:AlternateContent>
      </w: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Co to za produkt?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Typ</w:t>
      </w:r>
    </w:p>
    <w:p>
      <w:pPr>
        <w:spacing w:after="0" w:line="105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260"/>
        <w:spacing w:after="0" w:line="233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Standaryzowana opcja na akcje to prawo do nabycia lub zbycia określonej kwoty lub wartości danego bazowego papieru wartościowego po ustalonej cenie (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i w:val="1"/>
          <w:iCs w:val="1"/>
          <w:color w:val="auto"/>
        </w:rPr>
        <w:t xml:space="preserve">tj. "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cenie wykonania") poprzez skorzystanie z opcji przed określonym terminem jej wygaśnięcia.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Ekspozycja na bazowy papier wartościowy jest zatem pośrednia, ponieważ wartość opcji jest ustalana na podstawie wartości bazowego papieru wartościowego.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Terminy wygaśnięcia opcji na akcje są różne.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OCC nie może jednostronnie zakończyć opcji.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pewnych nadzwyczajnych okolicznościach, w których warunki opcji zostaną jednoznacznie uznane za błędne, giełda, na której wykonywana jest transakcja, może jednostronnie wypowiedzieć opcję w określonym terminie po jej wykonaniu.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niektórych przypadkach działanie korporacyjne w odniesieniu do bazowego kapitałowego papieru wartościowego może skutkować zmianą warunków opcji zgodnie z zasadami UOKiK, które mogą różnić się od metodyki stosowanej na europejskich rynkach opcji.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Cele</w:t>
      </w:r>
    </w:p>
    <w:p>
      <w:pPr>
        <w:spacing w:after="0" w:line="10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60"/>
        <w:spacing w:after="0" w:line="23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Posiadaczem (kupującym) opcji jest osoba, która kupuje prawo z opcji i płaci autorowi (sprzedającemu) bezzwrotną płatność zwaną "premią".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Scenariusz opcji jest zobowiązany - w przypadku przypisania mu wykonania opcji - do wykonania zobowiązania zgodnie z warunkami zakupu lub sprzedaży bazowego papieru wartościowego po cenie wykonania opcji.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Opcja dająca posiadaczowi prawo do zakupu jest opcją kupna, a opcja dająca posiadaczowi prawo do sprzedaży jest opcją sprzedaży.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Posiadacz może skorzystać z opcji typu amerykańskiego w dowolnym momencie przed wygaśnięciem, natomiast opcja typu europejskiego może być wykonywana tylko w określonym okresie przed wygaśnięciem (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i w:val="1"/>
          <w:iCs w:val="1"/>
          <w:color w:val="auto"/>
        </w:rPr>
        <w:t xml:space="preserve">np.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data wygaśnięcia).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Standardowe opcje na akcje są zazwyczaj rozliczane fizycznie, ale mogą być również rozliczane w środkach pieniężnych.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Fizyczne rozliczenie daje posiadaczowi prawo do otrzymania (wezwania) lub fizycznej dostawy (sprzedaży) bazowego papieru wartościowego po wykonaniu.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rozliczeniu gotówkowym posiadacz ma prawo do otrzymania płatności gotówkowej, jeżeli ustalona wartość bazowego papieru wartościowego w momencie wykonania przekracza (wezwanie) lub jest niższa od (sprzedaż) ceny wykonania.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Czynniki wpływające na wartość opcji to cena wykonania opcji, czas do wygaśnięcia opcji oraz wartość bazowego papieru wartościowego i jego podatność na wahania cen (zmienność).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Zamierzony Inwestor Detaliczny</w:t>
      </w:r>
    </w:p>
    <w:p>
      <w:pPr>
        <w:spacing w:after="0" w:line="10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240"/>
        <w:spacing w:after="0" w:line="22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Produkt ten nie jest przeznaczony dla konkretnego rodzaju inwestora ani nie jest przeznaczony do realizacji określonego celu inwestycyjnego lub strategii inwestycyjnej.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Nie jest ona odpowiednia dla wszystkich inwestorów i jest przeznaczona wyłącznie dla inwestorów, którzy dobrze rozumieją produkt i mogą ponieść potencjalne straty związane z nim i związaną z nim strategią inwestycyjną.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przypadku pytań dotyczących odpowiedniości prosimy o kontakt z brokerem lub doradcą inwestycyjnym.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-65405</wp:posOffset>
                </wp:positionH>
                <wp:positionV relativeFrom="paragraph">
                  <wp:posOffset>17780</wp:posOffset>
                </wp:positionV>
                <wp:extent cx="6810375" cy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037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2" o:spid="_x0000_s103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5.1499pt,1.4pt" to="531.1pt,1.4pt" o:allowincell="f" strokecolor="#000000" strokeweight="0.48pt"/>
            </w:pict>
          </mc:Fallback>
        </mc:AlternateContent>
      </w:r>
    </w:p>
    <w:p>
      <w:pPr>
        <w:sectPr>
          <w:pgSz w:w="12240" w:h="15840" w:orient="portrait"/>
          <w:cols w:equalWidth="0" w:num="1">
            <w:col w:w="10520"/>
          </w:cols>
          <w:pgMar w:left="1080" w:top="699" w:right="640" w:bottom="1440" w:gutter="0" w:footer="0" w:header="0"/>
        </w:sectPr>
      </w:pPr>
    </w:p>
    <w:bookmarkStart w:id="1" w:name="page2"/>
    <w:bookmarkEnd w:id="1"/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619760</wp:posOffset>
                </wp:positionH>
                <wp:positionV relativeFrom="page">
                  <wp:posOffset>459740</wp:posOffset>
                </wp:positionV>
                <wp:extent cx="6811010" cy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8110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13" o:spid="_x0000_s103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8.8pt,36.2pt" to="585.1pt,36.2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622935</wp:posOffset>
                </wp:positionH>
                <wp:positionV relativeFrom="page">
                  <wp:posOffset>457200</wp:posOffset>
                </wp:positionV>
                <wp:extent cx="0" cy="9012555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90125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14" o:spid="_x0000_s103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9.05pt,36pt" to="49.05pt,745.6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7427595</wp:posOffset>
                </wp:positionH>
                <wp:positionV relativeFrom="page">
                  <wp:posOffset>457200</wp:posOffset>
                </wp:positionV>
                <wp:extent cx="0" cy="9012555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90125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15" o:spid="_x0000_s104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84.85pt,36pt" to="584.85pt,745.6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Jakie jest ryzyko i co mogę dostać w zamian?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1065530</wp:posOffset>
            </wp:positionH>
            <wp:positionV relativeFrom="paragraph">
              <wp:posOffset>15875</wp:posOffset>
            </wp:positionV>
            <wp:extent cx="4896485" cy="1779905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6485" cy="1779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1065530</wp:posOffset>
            </wp:positionH>
            <wp:positionV relativeFrom="paragraph">
              <wp:posOffset>15875</wp:posOffset>
            </wp:positionV>
            <wp:extent cx="4896485" cy="1779905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6485" cy="1779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Wskaźnik Ryzyka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160"/>
        <w:spacing w:after="0" w:line="22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Podsumowujący wskaźnik ryzyka jest wskazówką dotyczącą poziomu ryzyka tego produktu w porównaniu z innymi produktami.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Pokazuje, jak prawdopodobne jest, że produkt straci pieniądze z powodu zmian na rynkach lub dlatego, że nie jesteśmy w stanie zapłacić.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Zaklasyfikowaliśmy ten produkt jako 7 z 7, co jest najwyższą klasą ryzyka i ocenia potencjalne straty z przyszłych wyników na bardzo wysokim poziomie.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Ten produkt nie obejmuje żadnej ochrony przed przyszłą sytuacją rynkową, więc możesz stracić część lub całość inwestycji.</w:t>
      </w:r>
    </w:p>
    <w:p>
      <w:pPr>
        <w:spacing w:after="0" w:line="10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420"/>
        <w:spacing w:after="0" w:line="21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Profil ryzyka i zysku znormalizowanej opcji na akcje dla posiadaczy i emitentów zależy od jej warunków, ale może obejmować następujące czynniki:</w:t>
      </w:r>
    </w:p>
    <w:p>
      <w:pPr>
        <w:spacing w:after="0" w:line="8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40" w:hanging="230"/>
        <w:spacing w:after="0" w:line="222" w:lineRule="auto"/>
        <w:tabs>
          <w:tab w:leader="none" w:pos="24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Posiadacz opcji ryzykuje utratę całej premii, jeżeli cena wykonania opcji jest wyższa od bieżącej wartości rynkowej instrumentu bazowego lub cena wykonania opcji jest niższa od wartości rynkowej.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obu przypadkach mówi się, że opcja wygasa "z pieniędzy".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Posiadacz opcji, który nie sprzeda opcji ani nie skorzysta z niej przed jej wygaśnięciem, może stracić całą swoją inwestycję w tę opcję.</w:t>
      </w:r>
    </w:p>
    <w:p>
      <w:pPr>
        <w:spacing w:after="0" w:line="80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40" w:right="200" w:hanging="230"/>
        <w:spacing w:after="0" w:line="217" w:lineRule="auto"/>
        <w:tabs>
          <w:tab w:leader="none" w:pos="24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Jeżeli amerykańska giełda opcji, na której jedynym przedmiotem obrotu są opcje, stanie się niedostępna, inwestorzy w te opcje nie będą już mogli zawierać transakcji zamknięcia.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Ponadto mogą wystąpić sytuacje, w których ceny opcji nie utrzymają zwyczajowych lub oczekiwanych relacji z cenami bazowych lub powiązanych z nimi udziałów.</w:t>
      </w:r>
    </w:p>
    <w:p>
      <w:pPr>
        <w:spacing w:after="0" w:line="79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40" w:right="300" w:hanging="230"/>
        <w:spacing w:after="0" w:line="205" w:lineRule="auto"/>
        <w:tabs>
          <w:tab w:leader="none" w:pos="24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Jeżeli bazowy papier wartościowy wykonanej opcji, który jest fizycznie rozliczany, jest niedostępny, zasady UOKiK mogą wymagać alternatywnej formy rozliczenia, takiej jak rozliczenie gotówkowe.</w:t>
      </w:r>
    </w:p>
    <w:p>
      <w:pPr>
        <w:spacing w:after="0" w:line="2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40" w:hanging="230"/>
        <w:spacing w:after="0"/>
        <w:tabs>
          <w:tab w:leader="none" w:pos="24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Prawo podatkowe w państwie członkowskim pochodzenia inwestora może mieć wpływ na jego zwrot.</w:t>
      </w:r>
    </w:p>
    <w:p>
      <w:pPr>
        <w:spacing w:after="0" w:line="86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20" w:right="40" w:hanging="210"/>
        <w:spacing w:after="0" w:line="214" w:lineRule="auto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Bądź świadomy ryzyka walutowego.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 Wszelkie płatności gotówkowe związane z handlem lub korzystaniem z opcji będą rozliczane w dolarach amerykańskich, a w konsekwencji wyniki inwestycyjne mogą się zmieniać w zależności od wahań kursów walut.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 Ryzyko to nie jest uwzględniane we wskaźniku powyżej.</w:t>
      </w:r>
    </w:p>
    <w:p>
      <w:pPr>
        <w:spacing w:after="0" w:line="10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320"/>
        <w:spacing w:after="0" w:line="21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Scenariusze wyników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(Przykłady nie obejmują kosztów prowizji, podatków i innych kosztów transakcyjnych, które mogą mieć wpływ na wartość transakcji i pozycji opcyjnej)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24130</wp:posOffset>
            </wp:positionH>
            <wp:positionV relativeFrom="paragraph">
              <wp:posOffset>14605</wp:posOffset>
            </wp:positionV>
            <wp:extent cx="6647815" cy="198882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7815" cy="1988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24130</wp:posOffset>
            </wp:positionH>
            <wp:positionV relativeFrom="paragraph">
              <wp:posOffset>14605</wp:posOffset>
            </wp:positionV>
            <wp:extent cx="6647815" cy="198882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7815" cy="1988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2240" w:h="15840" w:orient="portrait"/>
          <w:cols w:equalWidth="0" w:num="1">
            <w:col w:w="10500"/>
          </w:cols>
          <w:pgMar w:left="1080" w:top="706" w:right="660" w:bottom="399" w:gutter="0" w:footer="0" w:header="0"/>
        </w:sectPr>
      </w:pPr>
    </w:p>
    <w:p>
      <w:pPr>
        <w:spacing w:after="0" w:line="177" w:lineRule="exact"/>
        <w:rPr>
          <w:sz w:val="20"/>
          <w:szCs w:val="20"/>
          <w:color w:val="auto"/>
        </w:rPr>
      </w:pPr>
    </w:p>
    <w:tbl>
      <w:tblPr>
        <w:tblLayout w:type="fixed"/>
        <w:tblInd w:w="4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20" w:type="dxa"/>
            <w:vAlign w:val="bottom"/>
            <w:gridSpan w:val="4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6"/>
                <w:szCs w:val="16"/>
                <w:color w:val="595959"/>
              </w:rPr>
              <w:t xml:space="preserve">P/L z posiadania sprzedaży (Premium $5; Cena ćwiczenia $45)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7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 xmlns:w="http://schemas.openxmlformats.org/wordprocessingml/2006/main">
              <w:jc w:val="right"/>
              <w:ind w:right="5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0 $</w:t>
            </w:r>
          </w:p>
        </w:tc>
        <w:tc>
          <w:tcPr>
            <w:tcW w:w="980" w:type="dxa"/>
            <w:vAlign w:val="bottom"/>
          </w:tcPr>
          <w:p>
            <w:pPr xmlns:w="http://schemas.openxmlformats.org/wordprocessingml/2006/main">
              <w:jc w:val="right"/>
              <w:ind w:right="195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20 $</w:t>
            </w:r>
          </w:p>
        </w:tc>
        <w:tc>
          <w:tcPr>
            <w:tcW w:w="800" w:type="dxa"/>
            <w:vAlign w:val="bottom"/>
          </w:tcPr>
          <w:p>
            <w:pPr xmlns:w="http://schemas.openxmlformats.org/wordprocessingml/2006/main">
              <w:jc w:val="right"/>
              <w:ind w:right="175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40 $</w:t>
            </w:r>
          </w:p>
        </w:tc>
        <w:tc>
          <w:tcPr>
            <w:tcW w:w="820" w:type="dxa"/>
            <w:vAlign w:val="bottom"/>
          </w:tcPr>
          <w:p>
            <w:pPr xmlns:w="http://schemas.openxmlformats.org/wordprocessingml/2006/main">
              <w:jc w:val="right"/>
              <w:ind w:right="19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60 $</w:t>
            </w:r>
          </w:p>
        </w:tc>
        <w:tc>
          <w:tcPr>
            <w:tcW w:w="1020" w:type="dxa"/>
            <w:vAlign w:val="bottom"/>
          </w:tcPr>
          <w:p>
            <w:pPr xmlns:w="http://schemas.openxmlformats.org/wordprocessingml/2006/main">
              <w:jc w:val="right"/>
              <w:ind w:right="39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80 $</w:t>
            </w:r>
          </w:p>
        </w:tc>
        <w:tc>
          <w:tcPr>
            <w:tcW w:w="580" w:type="dxa"/>
            <w:vAlign w:val="bottom"/>
          </w:tcPr>
          <w:p>
            <w:pPr xmlns:w="http://schemas.openxmlformats.org/wordprocessingml/2006/main">
              <w:jc w:val="right"/>
              <w:ind w:right="13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  <w:w w:val="93"/>
              </w:rPr>
              <w:t xml:space="preserve">100 $</w:t>
            </w:r>
          </w:p>
        </w:tc>
        <w:tc>
          <w:tcPr>
            <w:tcW w:w="620" w:type="dxa"/>
            <w:vAlign w:val="bottom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120 $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 xmlns:w="http://schemas.openxmlformats.org/wordprocessingml/2006/main">
              <w:jc w:val="right"/>
              <w:ind w:right="31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30 $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4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 xmlns:w="http://schemas.openxmlformats.org/wordprocessingml/2006/main">
              <w:jc w:val="right"/>
              <w:ind w:right="31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20 $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1"/>
        </w:trPr>
        <w:tc>
          <w:tcPr>
            <w:tcW w:w="180" w:type="dxa"/>
            <w:vAlign w:val="bottom"/>
            <w:vMerge w:val="restart"/>
            <w:textDirection w:val="btLr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6"/>
                <w:szCs w:val="16"/>
                <w:color w:val="595959"/>
                <w:w w:val="94"/>
              </w:rPr>
              <w:t xml:space="preserve">P/L</w:t>
            </w:r>
          </w:p>
        </w:tc>
        <w:tc>
          <w:tcPr>
            <w:tcW w:w="780" w:type="dxa"/>
            <w:vAlign w:val="bottom"/>
          </w:tcPr>
          <w:p>
            <w:pPr xmlns:w="http://schemas.openxmlformats.org/wordprocessingml/2006/main">
              <w:jc w:val="right"/>
              <w:ind w:right="31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10 $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"/>
        </w:trPr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06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 xmlns:w="http://schemas.openxmlformats.org/wordprocessingml/2006/main">
              <w:jc w:val="right"/>
              <w:ind w:right="31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0 $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4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 xmlns:w="http://schemas.openxmlformats.org/wordprocessingml/2006/main">
              <w:jc w:val="right"/>
              <w:ind w:right="31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- 10 USD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40" w:type="dxa"/>
            <w:vAlign w:val="bottom"/>
            <w:gridSpan w:val="3"/>
            <w:vMerge w:val="restart"/>
          </w:tcPr>
          <w:p>
            <w:pPr xmlns:w="http://schemas.openxmlformats.org/wordprocessingml/2006/main">
              <w:jc w:val="center"/>
              <w:ind w:right="15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6"/>
                <w:szCs w:val="16"/>
                <w:color w:val="595959"/>
              </w:rPr>
              <w:t xml:space="preserve">Cena rynkowa instrumentu bazowego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64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auto"/>
        </w:rPr>
        <w:t xml:space="preserve">P/L Mechanizm Stressed Market Underlying Move (</w:t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FF0000"/>
        </w:rPr>
        <w:t xml:space="preserve">Czerwony Punkt Wykresu</w:t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auto"/>
        </w:rPr>
        <w:t xml:space="preserve">)</w:t>
      </w:r>
    </w:p>
    <w:p>
      <w:pPr>
        <w:spacing w:after="0" w:line="11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Cena rynkowa: $15</w:t>
      </w:r>
    </w:p>
    <w:p>
      <w:pPr>
        <w:spacing w:after="0" w:line="12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300" w:hanging="153"/>
        <w:spacing w:after="0"/>
        <w:tabs>
          <w:tab w:leader="none" w:pos="300" w:val="left"/>
        </w:tabs>
        <w:numPr>
          <w:ilvl w:val="0"/>
          <w:numId w:val="2"/>
        </w:numPr>
        <w:rPr>
          <w:rFonts w:ascii="Symbol" w:cs="Symbol" w:eastAsia="Symbol" w:hAnsi="Symbol"/>
          <w:sz w:val="16"/>
          <w:szCs w:val="16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Niekorzystny dla pisarza - $25</w:t>
      </w:r>
    </w:p>
    <w:p>
      <w:pPr xmlns:w="http://schemas.openxmlformats.org/wordprocessingml/2006/main">
        <w:ind w:left="140"/>
        <w:spacing w:after="0" w:line="211" w:lineRule="auto"/>
        <w:tabs>
          <w:tab w:leader="none" w:pos="1720" w:val="left"/>
        </w:tabs>
        <w:rPr>
          <w:sz w:val="20"/>
          <w:szCs w:val="20"/>
          <w:color w:val="auto"/>
        </w:rPr>
      </w:pPr>
      <w:r xmlns:w="http://schemas.openxmlformats.org/wordprocessingml/2006/main">
        <w:rPr>
          <w:rFonts w:ascii="Symbol" w:cs="Symbol" w:eastAsia="Symbol" w:hAnsi="Symbol"/>
          <w:sz w:val="16"/>
          <w:szCs w:val="16"/>
          <w:color w:val="auto"/>
        </w:rPr>
        <w:t>·</w:t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 Korzystny dla posiadacza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5"/>
          <w:szCs w:val="15"/>
          <w:color w:val="auto"/>
        </w:rPr>
        <w:t xml:space="preserve">+ 25 $</w:t>
      </w:r>
    </w:p>
    <w:p>
      <w:pPr>
        <w:spacing w:after="0" w:line="10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auto"/>
        </w:rPr>
        <w:t xml:space="preserve">P/L Umiarkowane Przesunięcie Rynkowe (</w:t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00B050"/>
        </w:rPr>
        <w:t xml:space="preserve">Zielony Punkt Wykresu</w:t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auto"/>
        </w:rPr>
        <w:t xml:space="preserve">)</w:t>
      </w:r>
    </w:p>
    <w:p>
      <w:pPr>
        <w:spacing w:after="0" w:line="11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Cena rynkowa: $35</w:t>
      </w:r>
    </w:p>
    <w:p>
      <w:pPr>
        <w:spacing w:after="0" w:line="12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300" w:hanging="153"/>
        <w:spacing w:after="0"/>
        <w:tabs>
          <w:tab w:leader="none" w:pos="300" w:val="left"/>
        </w:tabs>
        <w:numPr>
          <w:ilvl w:val="0"/>
          <w:numId w:val="3"/>
        </w:numPr>
        <w:rPr>
          <w:rFonts w:ascii="Symbol" w:cs="Symbol" w:eastAsia="Symbol" w:hAnsi="Symbol"/>
          <w:sz w:val="16"/>
          <w:szCs w:val="16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Niekorzystny dla pisarza - $5</w:t>
      </w:r>
    </w:p>
    <w:p>
      <w:pPr xmlns:w="http://schemas.openxmlformats.org/wordprocessingml/2006/main">
        <w:ind w:left="140"/>
        <w:spacing w:after="0" w:line="211" w:lineRule="auto"/>
        <w:tabs>
          <w:tab w:leader="none" w:pos="1760" w:val="left"/>
        </w:tabs>
        <w:rPr>
          <w:sz w:val="20"/>
          <w:szCs w:val="20"/>
          <w:color w:val="auto"/>
        </w:rPr>
      </w:pPr>
      <w:r xmlns:w="http://schemas.openxmlformats.org/wordprocessingml/2006/main">
        <w:rPr>
          <w:rFonts w:ascii="Symbol" w:cs="Symbol" w:eastAsia="Symbol" w:hAnsi="Symbol"/>
          <w:sz w:val="16"/>
          <w:szCs w:val="16"/>
          <w:color w:val="auto"/>
        </w:rPr>
        <w:t>·</w:t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 Korzystny dla posiadacza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5"/>
          <w:szCs w:val="15"/>
          <w:color w:val="auto"/>
        </w:rPr>
        <w:t xml:space="preserve">+ 5$</w:t>
      </w:r>
    </w:p>
    <w:p>
      <w:pPr>
        <w:spacing w:after="0" w:line="15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560"/>
        <w:spacing w:after="0" w:line="21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auto"/>
        </w:rPr>
        <w:t xml:space="preserve">Wartość Break Even Point występuje, gdy cena bazowa jest równa cenie wykonania minus premia.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ectPr>
          <w:pgSz w:w="12240" w:h="15840" w:orient="portrait"/>
          <w:cols w:equalWidth="0" w:num="2">
            <w:col w:w="6200" w:space="440"/>
            <w:col w:w="3860"/>
          </w:cols>
          <w:pgMar w:left="1080" w:top="706" w:right="660" w:bottom="399" w:gutter="0" w:footer="0" w:header="0"/>
          <w:type w:val="continuous"/>
        </w:sectPr>
      </w:pPr>
    </w:p>
    <w:p>
      <w:pPr>
        <w:spacing w:after="0" w:line="25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20"/>
        <w:spacing w:after="0" w:line="23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Wykres ilustruje, jak Twoja inwestycja może się sprawdzić.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Można to porównać do wykresów wypłat dla innych instrumentów pochodnych.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Wykres przedstawia szereg możliwych wyników i nie jest dokładną wskazówką, co możesz otrzymać.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Inwestowanie w ten produkt oznacza, że uważasz, że cena bazowa spadnie.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To, co otrzymasz, będzie się różnić w zależności od tego, jak wartość instrumentu bazowego zmienia się w czasie, co zależy od przyszłych wyników rynkowych, które są niepewne i nie można ich przewidzieć.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Dla dwóch wartości instrumentu bazowego wykres pokazuje, jaki byłby zysk lub strata produktu.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Oś pozioma pokazuje możliwe wartości linii bazowej, a oś pionowa pokazuje zysk lub stratę opcji.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Przedstawione dane liczbowe obejmują wszystkie koszty samego produktu, ale mogą nie obejmować wszystkich kosztów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-65405</wp:posOffset>
                </wp:positionH>
                <wp:positionV relativeFrom="paragraph">
                  <wp:posOffset>20320</wp:posOffset>
                </wp:positionV>
                <wp:extent cx="6810375" cy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037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0" o:spid="_x0000_s104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5.1499pt,1.6pt" to="531.1pt,1.6pt" o:allowincell="f" strokecolor="#000000" strokeweight="0.4799pt"/>
            </w:pict>
          </mc:Fallback>
        </mc:AlternateContent>
      </w:r>
    </w:p>
    <w:p>
      <w:pPr>
        <w:sectPr>
          <w:pgSz w:w="12240" w:h="15840" w:orient="portrait"/>
          <w:cols w:equalWidth="0" w:num="1">
            <w:col w:w="10500"/>
          </w:cols>
          <w:pgMar w:left="1080" w:top="706" w:right="660" w:bottom="399" w:gutter="0" w:footer="0" w:header="0"/>
          <w:type w:val="continuous"/>
        </w:sectPr>
      </w:pPr>
    </w:p>
    <w:bookmarkStart w:id="2" w:name="page3"/>
    <w:bookmarkEnd w:id="2"/>
    <w:p>
      <w:pPr xmlns:w="http://schemas.openxmlformats.org/wordprocessingml/2006/main">
        <w:ind w:left="220" w:right="160"/>
        <w:spacing w:after="0" w:line="21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619760</wp:posOffset>
                </wp:positionH>
                <wp:positionV relativeFrom="page">
                  <wp:posOffset>459740</wp:posOffset>
                </wp:positionV>
                <wp:extent cx="6811010" cy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8110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1" o:spid="_x0000_s104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8.8pt,36.2pt" to="585.1pt,36.2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619760</wp:posOffset>
                </wp:positionH>
                <wp:positionV relativeFrom="page">
                  <wp:posOffset>807085</wp:posOffset>
                </wp:positionV>
                <wp:extent cx="6811010" cy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8110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2" o:spid="_x0000_s104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8.8pt,63.55pt" to="585.1pt,63.55pt" o:allowincell="f" strokecolor="#000000" strokeweight="0.48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619760</wp:posOffset>
                </wp:positionH>
                <wp:positionV relativeFrom="page">
                  <wp:posOffset>6447790</wp:posOffset>
                </wp:positionV>
                <wp:extent cx="6811010" cy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8110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3" o:spid="_x0000_s104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8.8pt,507.7pt" to="585.1pt,507.7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619760</wp:posOffset>
                </wp:positionH>
                <wp:positionV relativeFrom="page">
                  <wp:posOffset>7988300</wp:posOffset>
                </wp:positionV>
                <wp:extent cx="6811010" cy="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8110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4" o:spid="_x0000_s104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8.8pt,629pt" to="585.1pt,629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622935</wp:posOffset>
                </wp:positionH>
                <wp:positionV relativeFrom="page">
                  <wp:posOffset>457200</wp:posOffset>
                </wp:positionV>
                <wp:extent cx="0" cy="8905875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9058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5" o:spid="_x0000_s105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9.05pt,36pt" to="49.05pt,737.2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7427595</wp:posOffset>
                </wp:positionH>
                <wp:positionV relativeFrom="page">
                  <wp:posOffset>457200</wp:posOffset>
                </wp:positionV>
                <wp:extent cx="0" cy="8905875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9058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6" o:spid="_x0000_s105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84.85pt,36pt" to="584.85pt,737.2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Płacisz doradcy lub dystrybutorowi i nie uwzględniasz swojej osobistej sytuacji podatkowej, która może mieć również wpływ na to, ile otrzymasz.</w:t>
      </w:r>
    </w:p>
    <w:p>
      <w:pPr>
        <w:spacing w:after="0" w:line="7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20" w:right="140"/>
        <w:spacing w:after="0" w:line="233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Co się stanie, jeśli OCC nie będzie w stanie wypłacić?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Zasady UOKiK zostały zaprojektowane w taki sposób, aby wyniki dotyczące wszystkich opcji były pomiędzy UOKiK a grupą firm maklerskich zwanych członkami rozliczającymi, które posiadają pozycje wszystkich posiadaczy opcji i emitentów na swoich rachunkach UOKiK.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Członkowie rozliczający muszą spełniać wymogi finansowe UOKiK w zakresie uczestnictwa oraz ustanawiać zabezpieczenia dla pozycji emitentów opcji, które są przez nich notowane.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Biuro maklerskie emitenta może wymagać od inwestora dostarczenia powiązanych zabezpieczeń w związku z pozycjami, jak opisano poniżej.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procesie nowacji prawnej OCC staje się kupującym dla każdego sprzedającego członka rozliczającego, a sprzedającym dla każdego kupującego członka rozliczającego.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System ten ma na celu wsparcie realizacji opcji oraz zarządzanie ryzykiem kontrahenta, aby ułatwić rozrachunek transakcji opcjami w przypadku, gdy członek rozliczający nie wywiązuje się ze swoich zobowiązań.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Istnieje jednak ryzyko, że OCC może nie mieć wystarczających środków finansowych na uregulowanie zobowiązań i możesz ponieść stratę do każdej kwoty należnej.</w:t>
      </w:r>
    </w:p>
    <w:p>
      <w:pPr>
        <w:spacing w:after="0" w:line="6" w:lineRule="exact"/>
        <w:rPr>
          <w:sz w:val="20"/>
          <w:szCs w:val="20"/>
          <w:color w:val="auto"/>
        </w:rPr>
      </w:pPr>
    </w:p>
    <w:tbl>
      <w:tblPr>
        <w:tblLayout w:type="fixed"/>
        <w:tblInd w:w="1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80"/>
        </w:trPr>
        <w:tc>
          <w:tcPr>
            <w:tcW w:w="5400" w:type="dxa"/>
            <w:vAlign w:val="bottom"/>
            <w:tcBorders>
              <w:top w:val="single" w:sz="8" w:color="auto"/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57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b w:val="1"/>
                <w:bCs w:val="1"/>
                <w:color w:val="auto"/>
              </w:rPr>
              <w:t xml:space="preserve">Jakie są koszty?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Osoba doradzająca lub sprzedająca</w:t>
            </w:r>
          </w:p>
        </w:tc>
        <w:tc>
          <w:tcPr>
            <w:tcW w:w="10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top w:val="single" w:sz="8" w:color="auto"/>
              <w:bottom w:val="single" w:sz="8" w:color="auto"/>
              <w:right w:val="single" w:sz="8" w:color="DADADA"/>
            </w:tcBorders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b w:val="1"/>
                <w:bCs w:val="1"/>
                <w:color w:val="auto"/>
              </w:rPr>
              <w:t xml:space="preserve">Koszty W Czasie</w:t>
            </w:r>
          </w:p>
        </w:tc>
        <w:tc>
          <w:tcPr>
            <w:tcW w:w="10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Zakończenie pracy</w:t>
            </w:r>
          </w:p>
        </w:tc>
        <w:tc>
          <w:tcPr>
            <w:tcW w:w="14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9"/>
        </w:trPr>
        <w:tc>
          <w:tcPr>
            <w:tcW w:w="54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2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Ten produkt może obciążać Cię innymi kosztami.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Jeśli tak, to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</w:tcBorders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ogółem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Różne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4"/>
        </w:trPr>
        <w:tc>
          <w:tcPr>
            <w:tcW w:w="54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2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osoba ta udzieli Ci informacji na ten temat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</w:tcBorders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  <w:w w:val="96"/>
              </w:rPr>
              <w:t xml:space="preserve">Roczny wpływ na koszty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Różne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9"/>
        </w:trPr>
        <w:tc>
          <w:tcPr>
            <w:tcW w:w="5400" w:type="dxa"/>
            <w:vAlign w:val="bottom"/>
          </w:tcPr>
          <w:p>
            <w:pPr xmlns:w="http://schemas.openxmlformats.org/wordprocessingml/2006/main">
              <w:ind w:left="100"/>
              <w:spacing w:after="0" w:line="23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kosztów i ich wpływu na Twoją inwestycję.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Kruszywo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9"/>
        </w:trPr>
        <w:tc>
          <w:tcPr>
            <w:tcW w:w="54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4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Koszty standardowych opcji na akcje zależą od</w:t>
            </w:r>
          </w:p>
        </w:tc>
        <w:tc>
          <w:tcPr>
            <w:tcW w:w="10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580" w:type="dxa"/>
            <w:vAlign w:val="bottom"/>
            <w:tcBorders>
              <w:top w:val="single" w:sz="8" w:color="auto"/>
              <w:bottom w:val="single" w:sz="8" w:color="auto"/>
              <w:right w:val="single" w:sz="8" w:color="DADADA"/>
            </w:tcBorders>
            <w:gridSpan w:val="7"/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b w:val="1"/>
                <w:bCs w:val="1"/>
                <w:color w:val="auto"/>
              </w:rPr>
              <w:t xml:space="preserve">Struktura kosztów</w:t>
            </w:r>
          </w:p>
        </w:tc>
        <w:tc>
          <w:tcPr>
            <w:tcW w:w="10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9"/>
        </w:trPr>
        <w:tc>
          <w:tcPr>
            <w:tcW w:w="54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4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wiele czynników.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Premia opcyjna to koszt opłacony przez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60" w:type="dxa"/>
            <w:vAlign w:val="bottom"/>
            <w:tcBorders>
              <w:bottom w:val="single" w:sz="8" w:color="auto"/>
            </w:tcBorders>
            <w:gridSpan w:val="6"/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Jednorazowe koszty przy wjeździe lub wyjeździe</w:t>
            </w: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Kwota (początkowa)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0"/>
        </w:trPr>
        <w:tc>
          <w:tcPr>
            <w:tcW w:w="54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4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posiadacz do autora.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Czynniki mające istotne znaczenie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right w:val="single" w:sz="8" w:color="auto"/>
            </w:tcBorders>
            <w:gridSpan w:val="5"/>
          </w:tcPr>
          <w:p>
            <w:pPr xmlns:w="http://schemas.openxmlformats.org/wordprocessingml/2006/main">
              <w:spacing w:after="0" w:line="20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Premia (określona przez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54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wpływ na składkę obejmuje między innymi,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 w:line="184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wejścia (na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right w:val="single" w:sz="8" w:color="auto"/>
            </w:tcBorders>
            <w:gridSpan w:val="5"/>
          </w:tcPr>
          <w:p>
            <w:pPr xmlns:w="http://schemas.openxmlformats.org/wordprocessingml/2006/main">
              <w:spacing w:after="0" w:line="184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kupującego i sprzedającego),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"/>
        </w:trPr>
        <w:tc>
          <w:tcPr>
            <w:tcW w:w="54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Transakcja —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right w:val="single" w:sz="8" w:color="auto"/>
            </w:tcBorders>
            <w:gridSpan w:val="5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Komisja (ustalona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6"/>
        </w:trPr>
        <w:tc>
          <w:tcPr>
            <w:tcW w:w="54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00"/>
              <w:spacing w:after="0" w:line="267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bazową wartość kapitału własnego, czas do wygaśnięcia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right w:val="single" w:sz="8" w:color="auto"/>
            </w:tcBorders>
            <w:gridSpan w:val="5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54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otwarcie (wejście)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right w:val="single" w:sz="8" w:color="auto"/>
            </w:tcBorders>
            <w:gridSpan w:val="5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przez biuro maklerskie)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Zmienna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5"/>
        </w:trPr>
        <w:tc>
          <w:tcPr>
            <w:tcW w:w="54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opcji i ceny wykonania.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Opcje inwestycji obejmują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bottom w:val="single" w:sz="8" w:color="auto"/>
              <w:right w:val="single" w:sz="8" w:color="auto"/>
            </w:tcBorders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54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wyjścia (na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9"/>
        </w:trPr>
        <w:tc>
          <w:tcPr>
            <w:tcW w:w="54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54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1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dodatkowe koszty uwzględniające kwestie podatkowe,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Transakcja —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7"/>
        </w:trPr>
        <w:tc>
          <w:tcPr>
            <w:tcW w:w="54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37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koszty transakcyjne i wymagania dotyczące marży, które mogą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zamykanie (wyjście)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bottom w:val="single" w:sz="8" w:color="auto"/>
              <w:right w:val="single" w:sz="8" w:color="auto"/>
            </w:tcBorders>
            <w:gridSpan w:val="5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Premium, Komisja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Zmienna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54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istotnie wpływają na wynik finansowy.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Koszty transakcyjne</w:t>
            </w:r>
          </w:p>
        </w:tc>
        <w:tc>
          <w:tcPr>
            <w:tcW w:w="10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DADADA"/>
            </w:tcBorders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6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shd w:val="clear" w:color="auto" w:fill="DADADA"/>
          </w:tcPr>
          <w:p>
            <w:pPr xmlns:w="http://schemas.openxmlformats.org/wordprocessingml/2006/main">
              <w:spacing w:after="0" w:line="202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Kwota (w dowolnej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54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DADADA"/>
            </w:tcBorders>
            <w:vMerge w:val="restart"/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Bieżące</w:t>
            </w:r>
          </w:p>
        </w:tc>
        <w:tc>
          <w:tcPr>
            <w:tcW w:w="10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vMerge w:val="restart"/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czasu)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54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składa się głównie z prowizji (które są nakładane w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DADADA"/>
            </w:tcBorders>
            <w:vMerge w:val="continue"/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1"/>
        </w:trPr>
        <w:tc>
          <w:tcPr>
            <w:tcW w:w="54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 w:line="20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Zarządzanie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54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otwierania, zamykania, wykonywania i cesji),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54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 w:line="21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Opłaty i inne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54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ale mogą również obejmować koszty marży i odsetek.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Margines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54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administracyjne lub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right w:val="single" w:sz="8" w:color="auto"/>
            </w:tcBorders>
            <w:gridSpan w:val="5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Nie ma zarządzania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54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0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oznacza aktywa, które muszą być zdeponowane przez emitenta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 w:line="20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operacyjne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</w:tcBorders>
          </w:tcPr>
          <w:p>
            <w:pPr xmlns:w="http://schemas.openxmlformats.org/wordprocessingml/2006/main">
              <w:spacing w:after="0" w:line="20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  <w:w w:val="93"/>
              </w:rPr>
              <w:t xml:space="preserve">opłata</w:t>
            </w:r>
          </w:p>
        </w:tc>
        <w:tc>
          <w:tcPr>
            <w:tcW w:w="1820" w:type="dxa"/>
            <w:vAlign w:val="bottom"/>
            <w:tcBorders>
              <w:right w:val="single" w:sz="8" w:color="auto"/>
            </w:tcBorders>
            <w:gridSpan w:val="4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 w:line="20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NIE DOTYCZY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5400" w:type="dxa"/>
            <w:vAlign w:val="bottom"/>
            <w:tcBorders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bottom w:val="single" w:sz="8" w:color="auto"/>
              <w:right w:val="single" w:sz="8" w:color="auto"/>
            </w:tcBorders>
            <w:gridSpan w:val="5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4"/>
        </w:trPr>
        <w:tc>
          <w:tcPr>
            <w:tcW w:w="54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44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z jego firmą maklerską jako zabezpieczenie zobowiązania,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right w:val="single" w:sz="8" w:color="auto"/>
            </w:tcBorders>
            <w:gridSpan w:val="5"/>
          </w:tcPr>
          <w:p>
            <w:pPr xmlns:w="http://schemas.openxmlformats.org/wordprocessingml/2006/main">
              <w:spacing w:after="0" w:line="19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Depozyt zabezpieczający (wymagania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7"/>
        </w:trPr>
        <w:tc>
          <w:tcPr>
            <w:tcW w:w="54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00"/>
              <w:spacing w:after="0" w:line="267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w stosownych przypadkach, kupna lub sprzedaży udziałów bazowych lub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right w:val="single" w:sz="8" w:color="auto"/>
            </w:tcBorders>
            <w:gridSpan w:val="5"/>
          </w:tcPr>
          <w:p>
            <w:pPr xmlns:w="http://schemas.openxmlformats.org/wordprocessingml/2006/main">
              <w:spacing w:after="0" w:line="167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mogą ulec zmianie, oraz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 w:line="167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Zmienna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54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 w:line="20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transakcyjne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right w:val="single" w:sz="8" w:color="auto"/>
            </w:tcBorders>
            <w:gridSpan w:val="5"/>
            <w:vMerge w:val="restart"/>
          </w:tcPr>
          <w:p>
            <w:pPr xmlns:w="http://schemas.openxmlformats.org/wordprocessingml/2006/main">
              <w:spacing w:after="0" w:line="20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może się różnić w zależności od rodzaju pośrednictwa)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 w:line="20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(w toku)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54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Zapłać kwotę rozliczenia gotówkowego.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Jeśli opcja jest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right w:val="single" w:sz="8" w:color="auto"/>
            </w:tcBorders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54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top w:val="single" w:sz="8" w:color="auto"/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54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DADADA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60" w:type="dxa"/>
            <w:vAlign w:val="bottom"/>
            <w:gridSpan w:val="6"/>
            <w:vMerge w:val="restart"/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  <w:highlight w:val="lightGray"/>
                <w:w w:val="99"/>
              </w:rPr>
              <w:t xml:space="preserve">Koszty uboczne ponoszone na określonych warunkach</w:t>
            </w: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DADADA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5"/>
        </w:trPr>
        <w:tc>
          <w:tcPr>
            <w:tcW w:w="54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wykonany i przydzielony, emitent może ponieść dodatkowe koszty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60" w:type="dxa"/>
            <w:vAlign w:val="bottom"/>
            <w:tcBorders>
              <w:bottom w:val="single" w:sz="8" w:color="auto"/>
            </w:tcBorders>
            <w:gridSpan w:val="6"/>
            <w:vMerge w:val="continue"/>
            <w:shd w:val="clear" w:color="auto" w:fill="DADADA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54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Opłaty za wyniki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right w:val="single" w:sz="8" w:color="auto"/>
            </w:tcBorders>
            <w:gridSpan w:val="5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Brak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NIE DOTYCZY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54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16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koszty.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bottom w:val="single" w:sz="8" w:color="auto"/>
              <w:right w:val="single" w:sz="8" w:color="auto"/>
            </w:tcBorders>
            <w:gridSpan w:val="5"/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10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20" w:right="660"/>
        <w:spacing w:after="0" w:line="21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Niezależnie od kosztów inwestorskich, OCC pobiera związane z tym opłaty za rozliczenie tego produktu swoim członkom rozliczającym, ale nie bezpośrednio Tobie: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https://www.theocc.com/company-information/schedule-of-fees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.</w:t>
      </w:r>
    </w:p>
    <w:p>
      <w:pPr>
        <w:spacing w:after="0" w:line="1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Jak długo mam go trzymać i czy mogę wcześnie wyjść z transakcji (czy mogę wcześniej wyjąć pieniądze)?</w:t>
      </w:r>
    </w:p>
    <w:p>
      <w:pPr>
        <w:spacing w:after="0" w:line="6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20" w:right="140"/>
        <w:spacing w:after="0" w:line="23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Zalecany okres przechowywania: Brak.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Decyzja o wykonaniu opcji jest dla posiadacza kluczową decyzją inwestycyjną, podobnie jak decyzja zarówno posiadaczy opcji, jak i emitentów o zamknięciu istniejącej pozycji opcyjnej przed wygaśnięciem opcji lub jej wykonaniem i przypisaniem poprzez zawarcie transakcji zamknięcia.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związku z tym inwestorzy ponoszą wyłączną odpowiedzialność za ustalenie, czy i kiedy powinni wykonać kontrakt (kontrakty) opcyjne, czy też zamknąć istniejącą pozycję opcyjną.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Inwestorzy, którzy zamykają istniejącą pozycję opcyjną, rezygnują z wszelkich późniejszych zysków lub strat związanych z tą opcją.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Wszystkie opcje mają datę wygaśnięcia, po której opcja nie będzie miała wartości i nie będzie już istnieć.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Posiadacze opcji w stylu amerykańskim, którzy chcą skorzystać z nich przed upływem terminu ważności, mogą to zrobić, przekazując brokerowi instrukcje dotyczące wykonania opcji, zgodnie z procedurą brokera.</w:t>
      </w:r>
    </w:p>
    <w:p>
      <w:pPr>
        <w:spacing w:after="0" w:line="1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Jak mogę złożyć skargę?</w:t>
      </w:r>
    </w:p>
    <w:p>
      <w:pPr>
        <w:spacing w:after="0" w:line="6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20" w:right="440"/>
        <w:spacing w:after="0" w:line="21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Inwestorzy mogą kontaktować się z OCC pod adresem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investorservices@theocc.com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 mogą również złożyć skargę do Urzędu Regulacji Sektora Finansowego ("FINRA") (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http://www.finra.org/investors/investor-complaint-center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) lub SEC</w:t>
      </w:r>
    </w:p>
    <w:tbl>
      <w:tblPr>
        <w:tblLayout w:type="fixed"/>
        <w:tblInd w:w="2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6"/>
        </w:trPr>
        <w:tc>
          <w:tcPr>
            <w:tcW w:w="4540" w:type="dxa"/>
            <w:vAlign w:val="bottom"/>
            <w:gridSpan w:val="3"/>
          </w:tcPr>
          <w:p>
            <w:pPr xmlns:w="http://schemas.openxmlformats.org/wordprocessingml/2006/main">
              <w:spacing w:after="0" w:line="256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(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0563C1"/>
              </w:rPr>
              <w:t xml:space="preserve">https://www.sec.gov/oiea/Complaint.html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).</w:t>
            </w:r>
          </w:p>
        </w:tc>
        <w:tc>
          <w:tcPr>
            <w:tcW w:w="4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63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820" w:type="dxa"/>
            <w:vAlign w:val="bottom"/>
            <w:tcBorders>
              <w:top w:val="single" w:sz="8" w:color="0563C1"/>
            </w:tcBorders>
          </w:tcPr>
          <w:p>
            <w:pPr xmlns:w="http://schemas.openxmlformats.org/wordprocessingml/2006/main">
              <w:ind w:left="40"/>
              <w:spacing w:after="0" w:line="262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Centrum Reklamacji Inwestorów FINRA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80" w:type="dxa"/>
            <w:vAlign w:val="bottom"/>
          </w:tcPr>
          <w:p>
            <w:pPr xmlns:w="http://schemas.openxmlformats.org/wordprocessingml/2006/main">
              <w:ind w:left="480"/>
              <w:spacing w:after="0" w:line="262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Komisja Papierów Wartościowych i Giełd USA</w:t>
            </w:r>
          </w:p>
        </w:tc>
      </w:tr>
      <w:tr>
        <w:trPr>
          <w:trHeight w:val="26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460" w:type="dxa"/>
            <w:vAlign w:val="bottom"/>
            <w:gridSpan w:val="2"/>
          </w:tcPr>
          <w:p>
            <w:pPr xmlns:w="http://schemas.openxmlformats.org/wordprocessingml/2006/main"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9509 Key West Avenue</w:t>
            </w:r>
          </w:p>
        </w:tc>
        <w:tc>
          <w:tcPr>
            <w:tcW w:w="4880" w:type="dxa"/>
            <w:vAlign w:val="bottom"/>
          </w:tcPr>
          <w:p>
            <w:pPr xmlns:w="http://schemas.openxmlformats.org/wordprocessingml/2006/main"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Biuro Edukacji i Rzecznictwa Inwestorskiego</w:t>
            </w:r>
          </w:p>
        </w:tc>
      </w:tr>
      <w:tr>
        <w:trPr>
          <w:trHeight w:val="26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460" w:type="dxa"/>
            <w:vAlign w:val="bottom"/>
            <w:gridSpan w:val="2"/>
          </w:tcPr>
          <w:p>
            <w:pPr xmlns:w="http://schemas.openxmlformats.org/wordprocessingml/2006/main"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Rockville, MD 20850-3329</w:t>
            </w:r>
          </w:p>
        </w:tc>
        <w:tc>
          <w:tcPr>
            <w:tcW w:w="4880" w:type="dxa"/>
            <w:vAlign w:val="bottom"/>
          </w:tcPr>
          <w:p>
            <w:pPr xmlns:w="http://schemas.openxmlformats.org/wordprocessingml/2006/main"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100 F Street, Gdzie Indziej Niewymienione.</w:t>
            </w:r>
          </w:p>
        </w:tc>
      </w:tr>
      <w:tr>
        <w:trPr>
          <w:trHeight w:val="269"/>
        </w:trPr>
        <w:tc>
          <w:tcPr>
            <w:tcW w:w="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460" w:type="dxa"/>
            <w:vAlign w:val="bottom"/>
            <w:gridSpan w:val="2"/>
          </w:tcPr>
          <w:p>
            <w:pPr xmlns:w="http://schemas.openxmlformats.org/wordprocessingml/2006/main"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Telefon: (240) 386-4357 Faks: (866) 397-3290</w:t>
            </w:r>
          </w:p>
        </w:tc>
        <w:tc>
          <w:tcPr>
            <w:tcW w:w="4880" w:type="dxa"/>
            <w:vAlign w:val="bottom"/>
          </w:tcPr>
          <w:p>
            <w:pPr xmlns:w="http://schemas.openxmlformats.org/wordprocessingml/2006/main"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  <w:w w:val="99"/>
              </w:rPr>
              <w:t xml:space="preserve">Waszyngton, DC 20549-0213 Faks: (202) 772-9295</w:t>
            </w: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73660</wp:posOffset>
                </wp:positionH>
                <wp:positionV relativeFrom="paragraph">
                  <wp:posOffset>16510</wp:posOffset>
                </wp:positionV>
                <wp:extent cx="6811010" cy="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10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7" o:spid="_x0000_s105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5.8pt,1.3pt" to="542.1pt,1.3pt" o:allowincell="f" strokecolor="#000000" strokeweight="0.4799pt"/>
            </w:pict>
          </mc:Fallback>
        </mc:AlternateContent>
      </w: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©2023 The Options Clearing Corporation.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Wszelkie prawa zastrzeżone.</w:t>
      </w:r>
    </w:p>
    <w:sectPr>
      <w:pgSz w:w="12240" w:h="15840" w:orient="portrait"/>
      <w:cols w:equalWidth="0" w:num="1">
        <w:col w:w="10840"/>
      </w:cols>
      <w:pgMar w:left="860" w:top="774" w:right="540" w:bottom="283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auto"/>
    <w:pitch w:val="variable"/>
    <w:sig w:usb0="00000000" w:usb1="0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w:abstractNumId="0">
    <w:nsid w:val="54AE13FD"/>
    <w:multiLevelType w:val="hybridMultilevel"/>
    <w:lvl w:ilvl="0">
      <w:lvlJc w:val="left"/>
      <w:lvlText w:val="·"/>
      <w:numFmt w:val="bullet"/>
      <w:start w:val="1"/>
    </w:lvl>
  </w:abstractNum>
  <w:abstractNum w:abstractNumId="1">
    <w:nsid w:val="1F64E51D"/>
    <w:multiLevelType w:val="hybridMultilevel"/>
    <w:lvl w:ilvl="0">
      <w:lvlJc w:val="left"/>
      <w:lvlText w:val="·"/>
      <w:numFmt w:val="bullet"/>
      <w:start w:val="1"/>
    </w:lvl>
  </w:abstractNum>
  <w:abstractNum w:abstractNumId="2">
    <w:nsid w:val="6CF4C361"/>
    <w:multiLevelType w:val="hybridMultilevel"/>
    <w:lvl w:ilvl="0">
      <w:lvlJc w:val="left"/>
      <w:lvlText w:val="·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webSettings" Target="webSettings.xml"/><Relationship Id="rId11" Type="http://schemas.openxmlformats.org/officeDocument/2006/relationships/numbering" Target="numbering.xml"/><Relationship Id="rId12" Type="http://schemas.openxmlformats.org/officeDocument/2006/relationships/image" Target="media/image1.jpeg"/><Relationship Id="rId13" Type="http://schemas.openxmlformats.org/officeDocument/2006/relationships/image" Target="media/image2.jpeg"/><Relationship Id="rId14" Type="http://schemas.openxmlformats.org/officeDocument/2006/relationships/image" Target="media/image3.png"/><Relationship Id="rId15" Type="http://schemas.openxmlformats.org/officeDocument/2006/relationships/image" Target="media/image4.pn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2024-05-21T09:38:11Z</dcterms:created>
  <dcterms:modified xsi:type="dcterms:W3CDTF">2024-05-21T09:38:11Z</dcterms:modified>
</cp:coreProperties>
</file>