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5"/>
              </w:rPr>
              <w:t xml:space="preserve">iShares Healthcare Innovation UCITS ETF</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22"/>
                <w:szCs w:val="22"/>
                <w:color w:val="auto"/>
                <w:w w:val="88"/>
              </w:rPr>
              <w:t xml:space="preserve">USD (ACC)-aandelenklasse</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50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IV plc</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rPr>
              <w:t xml:space="preserve">ISIN: IE00BYZK4776</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080" w:type="dxa"/>
            <w:vAlign w:val="bottom"/>
            <w:vMerge w:val="continue"/>
          </w:tcPr>
          <w:p>
            <w:pPr>
              <w:spacing w:after="0"/>
              <w:rPr>
                <w:sz w:val="9"/>
                <w:szCs w:val="9"/>
                <w:color w:val="auto"/>
              </w:rPr>
            </w:pPr>
          </w:p>
        </w:tc>
        <w:tc>
          <w:tcPr>
            <w:tcW w:w="23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een rendement op uw investering beoogt te behalen, door een combinatie van kapitaalgroei en inkomsten uit de activa van het fonds, die het rendement van de STOXX Global Breakthrough Healthcare Index, de benchmarkindex (Index) van het fonds, weerspiegelt.</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De Aandelenklasse, via het Fonds, wordt passief beheerd en heeft tot doel te beleggen in aandelen (bijv. aandelen) die, voor zover mogelijk en uitvoerbaar, deel uitmaken van de Index.</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weerspiegelt de prestaties van een subset van wereldwijde aandeleneffecten binnen de STOXX Global Total Market Index ("moederindex") die aanzienlijke inkomsten uit zorginnovatie genereren.</w:t>
      </w:r>
      <w:r>
        <w:rPr xmlns:w="http://schemas.openxmlformats.org/wordprocessingml/2006/main">
          <w:rFonts w:ascii="Arial" w:cs="Arial" w:eastAsia="Arial" w:hAnsi="Arial"/>
          <w:sz w:val="16"/>
          <w:szCs w:val="16"/>
          <w:color w:val="auto"/>
        </w:rPr>
        <w:t xml:space="preserve"> Bedrijven die in de index zijn opgenomen, moeten ten minste 50% (45% voor bestaande bedrijven die in de index zijn opgenomen) van hun jaarlijkse inkomsten genereren uit sectoren die verband houden met het thema innovatie in de gezondheidszorg, zoals generieke geneesmiddelen, immunotherapie (bijv. stamcelbehandeling) en IT in de gezondheidszorg.</w:t>
      </w:r>
      <w:r>
        <w:rPr xmlns:w="http://schemas.openxmlformats.org/wordprocessingml/2006/main">
          <w:rFonts w:ascii="Arial" w:cs="Arial" w:eastAsia="Arial" w:hAnsi="Arial"/>
          <w:sz w:val="16"/>
          <w:szCs w:val="16"/>
          <w:color w:val="auto"/>
        </w:rPr>
        <w:t xml:space="preserve"> Daarnaast streeft de index ernaar om bij elke indexherbalancering een minimumaantal van 80 bestanddelen te hebben, maar als de toepassing van het inkomstenfilter ertoe leidt dat er minder dan 80 bestanddelen in de index zijn, wordt deze geleidelijk verlaagd volgens de methodologie van de indexaanbieder, totdat het aantal bestanddelen gelijk is aan of groter is dan 80.</w:t>
      </w:r>
      <w:r>
        <w:rPr xmlns:w="http://schemas.openxmlformats.org/wordprocessingml/2006/main">
          <w:rFonts w:ascii="Arial" w:cs="Arial" w:eastAsia="Arial" w:hAnsi="Arial"/>
          <w:sz w:val="16"/>
          <w:szCs w:val="16"/>
          <w:color w:val="auto"/>
        </w:rPr>
        <w:t xml:space="preserve"> Bedrijven in de index moeten ook voldoen aan de criteria van de indexaanbieder voor marktkapitalisatie en handelsvolume en zijn gevestigd in een in aanmerking komend land dat ook door de indexaanbieder wordt bepaald.</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sluit bedrijven uit van de moederindex die door de indexaanbieder zijn geïdentificeerd als betrokken bij bepaalde bedrijfsonderdelen/activiteiten, zoals uiteengezet in de indexbeschrijving van het Fonds in het Prospectus van het Fonds.</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belegging van het Fonds in effecten die deel uitmaken van de Index, zal op het moment van aankoop voldoen aan de krediet- of ESG-vereisten van de Index.</w:t>
      </w:r>
      <w:r>
        <w:rPr xmlns:w="http://schemas.openxmlformats.org/wordprocessingml/2006/main">
          <w:rFonts w:ascii="Arial" w:cs="Arial" w:eastAsia="Arial" w:hAnsi="Arial"/>
          <w:sz w:val="16"/>
          <w:szCs w:val="16"/>
          <w:color w:val="auto"/>
        </w:rPr>
        <w:t xml:space="preserve"> Indien effecten niet langer aan deze vereisten voldoen, kan het Fonds ze aanhouden totdat ze niet langer deel uitmaken van de Index en het praktisch haalbaar is ze te verkopen.</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zal dergelijke ESG-criteria alleen in aanmerking nemen bij de selectie van de effecten die rechtstreeks door het Fonds worden aangehouden.</w:t>
      </w:r>
      <w:r>
        <w:rPr xmlns:w="http://schemas.openxmlformats.org/wordprocessingml/2006/main">
          <w:rFonts w:ascii="Arial" w:cs="Arial" w:eastAsia="Arial" w:hAnsi="Arial"/>
          <w:sz w:val="16"/>
          <w:szCs w:val="16"/>
          <w:color w:val="auto"/>
        </w:rPr>
        <w:t xml:space="preserve"> Het Fonds kan een indirecte blootstelling verkrijgen (bijvoorbeeld door middel van financiële derivaten ("BDI") (d.w.z. beleggingen waarvan de prijzen op een of meer onderliggende activa zijn gebaseerd) en rechten van deelneming in collectieve beleggingsregelingen) aan effecten die geacht worden niet aan deze ESG-criteria te voldoen.</w:t>
      </w:r>
      <w:r>
        <w:rPr xmlns:w="http://schemas.openxmlformats.org/wordprocessingml/2006/main">
          <w:rFonts w:ascii="Arial" w:cs="Arial" w:eastAsia="Arial" w:hAnsi="Arial"/>
          <w:sz w:val="16"/>
          <w:szCs w:val="16"/>
          <w:color w:val="auto"/>
        </w:rPr>
        <w:t xml:space="preserve"> De index kan bestaan uit kleine, middelgrote en/of grote kapitalisatiestructuren van de moederindex uit zowel ontwikkelde als opkomende landen wereldwijd.</w:t>
      </w:r>
      <w:r>
        <w:rPr xmlns:w="http://schemas.openxmlformats.org/wordprocessingml/2006/main">
          <w:rFonts w:ascii="Arial" w:cs="Arial" w:eastAsia="Arial" w:hAnsi="Arial"/>
          <w:sz w:val="16"/>
          <w:szCs w:val="16"/>
          <w:color w:val="auto"/>
        </w:rPr>
        <w:t xml:space="preserve"> Elke component van de index wordt op gelijke wijze gewogen bij elke herbalancering van de index.</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gebruikt optimalisatietechnieken om een vergelijkbaar rendement op zijn index te behalen.</w:t>
      </w:r>
      <w:r>
        <w:rPr xmlns:w="http://schemas.openxmlformats.org/wordprocessingml/2006/main">
          <w:rFonts w:ascii="Arial" w:cs="Arial" w:eastAsia="Arial" w:hAnsi="Arial"/>
          <w:sz w:val="16"/>
          <w:szCs w:val="16"/>
          <w:color w:val="auto"/>
        </w:rPr>
        <w:t xml:space="preserve"> Deze technieken kunnen de strategische selectie omvatten van bepaalde effecten die deel uitmaken van de Index of andere effecten die vergelijkbare prestaties leveren als bepaalde samenstellende effecten.</w:t>
      </w:r>
      <w:r>
        <w:rPr xmlns:w="http://schemas.openxmlformats.org/wordprocessingml/2006/main">
          <w:rFonts w:ascii="Arial" w:cs="Arial" w:eastAsia="Arial" w:hAnsi="Arial"/>
          <w:sz w:val="16"/>
          <w:szCs w:val="16"/>
          <w:color w:val="auto"/>
        </w:rPr>
        <w:t xml:space="preserve"> Deze kunnen ook het gebruik van DBI's omvatten, die voor directe-investeringsdoeleinden kunnen worden gebruikt.</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accumuleren (d.w.z. inkomsten zullen in hun waarde worden opgenomen).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zes vanwege de aard van haar beleggingen, waaronder de hieronder vermelde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Aandelen in kleinere bedrijven handelen meestal in minder volume en ervaren grotere prijsvariaties dan grotere bedrijven.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Opkomende markten zijn doorgaans gevoeliger voor economische en politieke omstandigheden dan ontwikkelde markten.</w:t>
      </w:r>
      <w:r>
        <w:rPr xmlns:w="http://schemas.openxmlformats.org/wordprocessingml/2006/main">
          <w:rFonts w:ascii="Arial" w:cs="Arial" w:eastAsia="Arial" w:hAnsi="Arial"/>
          <w:sz w:val="14"/>
          <w:szCs w:val="14"/>
          <w:color w:val="auto"/>
        </w:rPr>
        <w:t xml:space="preserve"> Andere factoren zijn onder meer een groter "liquiditeitsrisico", beperkingen op investeringen of de overdracht van activa, mislukte/vertraagde levering van effecten of betalingen aan het Fonds en duurzaamheidsgerelateerde risico's.</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beleggingsrisico is geconcentreerd in specifieke sectoren, landen, valuta's of bedrijven.</w:t>
      </w:r>
      <w:r>
        <w:rPr xmlns:w="http://schemas.openxmlformats.org/wordprocessingml/2006/main">
          <w:rFonts w:ascii="Arial" w:cs="Arial" w:eastAsia="Arial" w:hAnsi="Arial"/>
          <w:sz w:val="15"/>
          <w:szCs w:val="15"/>
          <w:color w:val="auto"/>
        </w:rPr>
        <w:t xml:space="preserve"> Dit betekent dat het Fonds gevoeliger is voor gelokaliseerde economische, markt-, politieke, duurzaamheidsgerelateerde of regelgevende gebeurtenissen.</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2"/>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De waarde van aandelen en aandelengerelateerde effecten kan dagelijks worden beïnvloed door</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beursbewegingen.</w:t>
      </w:r>
      <w:r>
        <w:rPr xmlns:w="http://schemas.openxmlformats.org/wordprocessingml/2006/main">
          <w:rFonts w:ascii="Arial" w:cs="Arial" w:eastAsia="Arial" w:hAnsi="Arial"/>
          <w:sz w:val="16"/>
          <w:szCs w:val="16"/>
          <w:color w:val="auto"/>
        </w:rPr>
        <w:t xml:space="preserve"> Andere invloedrijke factoren zijn politiek, economisch nieuws, bedrijfswinsten en belangrijke bedrijfsevenementen.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3"/>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Liquiditeitsrisico: Een lagere liquiditeit betekent dat er onvoldoende kopers of verkopers zijn om het fonds in staat te stellen beleggingen gemakkelijk te verkopen of te kopen.</w:t>
      </w:r>
    </w:p>
    <w:p>
      <w:pPr>
        <w:spacing w:after="0" w:line="20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ind w:right="2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2016 opgericht.</w:t>
      </w:r>
      <w:r>
        <w:rPr xmlns:w="http://schemas.openxmlformats.org/wordprocessingml/2006/main">
          <w:rFonts w:ascii="Arial" w:cs="Arial" w:eastAsia="Arial" w:hAnsi="Arial"/>
          <w:sz w:val="15"/>
          <w:szCs w:val="15"/>
          <w:color w:val="auto"/>
        </w:rPr>
        <w:t xml:space="preserve"> De Share Class werd in 2016 gelanceerd.</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ind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Benchmark: STOXX Global Breakthrough Healthcare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-23,6</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12,8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-23,3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40" w:space="26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IV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IV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het fonds en de aandelenklasse vermeld aan het begin van dit document.</w:t>
      </w:r>
      <w:r>
        <w:rPr xmlns:w="http://schemas.openxmlformats.org/wordprocessingml/2006/main">
          <w:rFonts w:ascii="Arial" w:cs="Arial" w:eastAsia="Arial" w:hAnsi="Arial"/>
          <w:sz w:val="15"/>
          <w:szCs w:val="15"/>
          <w:color w:val="auto"/>
        </w:rPr>
        <w:t xml:space="preserve"> Wel worden het prospectus, jaar- en halfjaarlijkse rapporten opgesteld voor de paraplu.</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kan uitsluitend aansprakelijk worden gesteld op basis van een verklaring in dit document die misleidend, onnauwkeurig of niet in overeenstemming is met de relevante delen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van het prospectus van het Fonds.</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IV plc de aansprakelijkheid verdeeld over haar subfondsen (d.w.z. de activa van het Fonds zullen niet worden gebruikt om de verplichtingen van andere subfondsen binnen iShares IV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Het wisselen van aandelen tussen het Fonds en andere subfondsen binnen iShares IV plc is niet beschikbaar voor beleggers.</w:t>
      </w:r>
      <w:r>
        <w:rPr xmlns:w="http://schemas.openxmlformats.org/wordprocessingml/2006/main">
          <w:rFonts w:ascii="Arial" w:cs="Arial" w:eastAsia="Arial" w:hAnsi="Arial"/>
          <w:sz w:val="15"/>
          <w:szCs w:val="15"/>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7DB105"/>
    <w:multiLevelType w:val="hybridMultilevel"/>
    <w:lvl w:ilvl="0">
      <w:lvlJc w:val="left"/>
      <w:lvlText w:val="-"/>
      <w:numFmt w:val="bullet"/>
      <w:start w:val="1"/>
    </w:lvl>
  </w:abstractNum>
  <w:abstractNum w:abstractNumId="1">
    <w:nsid w:val="5D14D7EC"/>
    <w:multiLevelType w:val="hybridMultilevel"/>
    <w:lvl w:ilvl="0">
      <w:lvlJc w:val="left"/>
      <w:lvlText w:val="-"/>
      <w:numFmt w:val="bullet"/>
      <w:start w:val="1"/>
    </w:lvl>
  </w:abstractNum>
  <w:abstractNum w:abstractNumId="2">
    <w:nsid w:val="3F42149C"/>
    <w:multiLevelType w:val="hybridMultilevel"/>
    <w:lvl w:ilvl="0">
      <w:lvlJc w:val="left"/>
      <w:lvlText w:val="-"/>
      <w:numFmt w:val="bullet"/>
      <w:start w:val="1"/>
    </w:lvl>
  </w:abstractNum>
  <w:abstractNum w:abstractNumId="3">
    <w:nsid w:val="477CDF17"/>
    <w:multiLevelType w:val="hybridMultilevel"/>
    <w:lvl w:ilvl="0">
      <w:lvlJc w:val="left"/>
      <w:lvlText w:val="**"/>
      <w:numFmt w:val="bullet"/>
      <w:start w:val="1"/>
    </w:lvl>
  </w:abstractNum>
  <w:abstractNum w:abstractNumId="4">
    <w:nsid w:val="7A3309C3"/>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2024-06-24T11:48:05Z</dcterms:created>
  <dcterms:modified xsi:type="dcterms:W3CDTF">2024-06-24T11:48:05Z</dcterms:modified>
</cp:coreProperties>
</file>