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6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8089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808990"/>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0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7"/>
              </w:rPr>
              <w:t xml:space="preserve">Κοινή χρήση τεχνολογίας πληροφοριών S&amp;P 500</w:t>
            </w:r>
          </w:p>
        </w:tc>
        <w:tc>
          <w:tcPr>
            <w:tcW w:w="2380" w:type="dxa"/>
            <w:vAlign w:val="bottom"/>
          </w:tcPr>
          <w:p>
            <w:pPr xmlns:w="http://schemas.openxmlformats.org/wordprocessingml/2006/main">
              <w:ind w:left="32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502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Τομέας ΟΣΕΚΑ ETF</w:t>
            </w:r>
          </w:p>
        </w:tc>
        <w:tc>
          <w:tcPr>
            <w:tcW w:w="2380" w:type="dxa"/>
            <w:vAlign w:val="bottom"/>
          </w:tcPr>
          <w:p>
            <w:pPr xmlns:w="http://schemas.openxmlformats.org/wordprocessingml/2006/main">
              <w:ind w:left="32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IE00B3WJKG14</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84"/>
        </w:trPr>
        <w:tc>
          <w:tcPr>
            <w:tcW w:w="5020" w:type="dxa"/>
            <w:vAlign w:val="bottom"/>
            <w:vMerge w:val="continue"/>
          </w:tcPr>
          <w:p>
            <w:pPr>
              <w:spacing w:after="0"/>
              <w:rPr>
                <w:sz w:val="16"/>
                <w:szCs w:val="16"/>
                <w:color w:val="auto"/>
              </w:rPr>
            </w:pPr>
          </w:p>
        </w:tc>
        <w:tc>
          <w:tcPr>
            <w:tcW w:w="4500" w:type="dxa"/>
            <w:vAlign w:val="bottom"/>
            <w:gridSpan w:val="2"/>
            <w:vMerge w:val="restart"/>
          </w:tcPr>
          <w:p>
            <w:pPr xmlns:w="http://schemas.openxmlformats.org/wordprocessingml/2006/main">
              <w:ind w:left="320"/>
              <w:spacing w:after="0"/>
              <w:rPr>
                <w:sz w:val="20"/>
                <w:szCs w:val="20"/>
                <w:color w:val="auto"/>
              </w:rPr>
            </w:pPr>
            <w:r>
              <w:rPr xmlns:w="http://schemas.openxmlformats.org/wordprocessingml/2006/main">
                <w:rFonts w:ascii="Arial" w:cs="Arial" w:eastAsia="Arial" w:hAnsi="Arial"/>
                <w:sz w:val="18"/>
                <w:szCs w:val="18"/>
                <w:color w:val="auto"/>
                <w:w w:val="92"/>
              </w:rPr>
              <w:t xml:space="preserve">Διαχειριστής:</w:t>
            </w:r>
            <w:r>
              <w:rPr xmlns:w="http://schemas.openxmlformats.org/wordprocessingml/2006/main">
                <w:rFonts w:ascii="Arial" w:cs="Arial" w:eastAsia="Arial" w:hAnsi="Arial"/>
                <w:sz w:val="18"/>
                <w:szCs w:val="18"/>
                <w:color w:val="auto"/>
                <w:w w:val="92"/>
              </w:rPr>
              <w:t xml:space="preserve"> BlackRock Asset Management Ireland Limited</w:t>
            </w:r>
          </w:p>
        </w:tc>
        <w:tc>
          <w:tcPr>
            <w:tcW w:w="0" w:type="dxa"/>
            <w:vAlign w:val="bottom"/>
          </w:tcPr>
          <w:p>
            <w:pPr>
              <w:spacing w:after="0"/>
              <w:rPr>
                <w:sz w:val="1"/>
                <w:szCs w:val="1"/>
                <w:color w:val="auto"/>
              </w:rPr>
            </w:pPr>
          </w:p>
        </w:tc>
      </w:tr>
      <w:tr>
        <w:trPr>
          <w:trHeight w:val="105"/>
        </w:trPr>
        <w:tc>
          <w:tcPr>
            <w:tcW w:w="5020" w:type="dxa"/>
            <w:vAlign w:val="bottom"/>
          </w:tcPr>
          <w:p>
            <w:pPr>
              <w:spacing w:after="0"/>
              <w:rPr>
                <w:sz w:val="9"/>
                <w:szCs w:val="9"/>
                <w:color w:val="auto"/>
              </w:rPr>
            </w:pPr>
          </w:p>
        </w:tc>
        <w:tc>
          <w:tcPr>
            <w:tcW w:w="4500" w:type="dxa"/>
            <w:vAlign w:val="bottom"/>
            <w:gridSpan w:val="2"/>
            <w:vMerge w:val="continue"/>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V plc</w:t>
      </w:r>
    </w:p>
    <w:p>
      <w:pPr>
        <w:spacing w:after="0" w:line="10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του Ταμείου (δείκτης) S&amp;P 500 Capped 35/20 Information Technology Index.</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Η Κατηγορία Μετοχών, μέσω του Ταμείου, τελεί υπό παθητική διαχείριση και επενδύει σε μετοχικούς τίτλους (π.χ. μετοχές) οι οποίοι, στο μέτρο του δυνατού και του εφικτού, αποτελούν τον Δείκτη.</w:t>
      </w:r>
    </w:p>
    <w:p>
      <w:pPr>
        <w:spacing w:after="0" w:line="60"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των αποθεμάτων από τον δείκτη S&amp;P 500 που εμπίπτουν στον τομέα της τεχνολογίας πληροφοριών του παγκόσμιου βιομηχανικού προτύπου (GICS).</w:t>
      </w:r>
      <w:r>
        <w:rPr xmlns:w="http://schemas.openxmlformats.org/wordprocessingml/2006/main">
          <w:rFonts w:ascii="Arial" w:cs="Arial" w:eastAsia="Arial" w:hAnsi="Arial"/>
          <w:sz w:val="16"/>
          <w:szCs w:val="16"/>
          <w:color w:val="auto"/>
        </w:rPr>
        <w:t xml:space="preserve"> Ο δείκτης S&amp;P 500 μετρά την απόδοση 500 αποθεμάτων από κορυφαίες εταιρείες των ΗΠΑ σε κορυφαίες βιομηχανίες της αμερικανικής οικονομίας που πληρούν τα κριτήρια μεγέθους, ρευστότητας και ελεύθερης διασποράς της S&amp;P.</w:t>
      </w:r>
      <w:r>
        <w:rPr xmlns:w="http://schemas.openxmlformats.org/wordprocessingml/2006/main">
          <w:rFonts w:ascii="Arial" w:cs="Arial" w:eastAsia="Arial" w:hAnsi="Arial"/>
          <w:sz w:val="16"/>
          <w:szCs w:val="16"/>
          <w:color w:val="auto"/>
        </w:rPr>
        <w:t xml:space="preserve"> Ο τομέας της τεχνολογίας πληροφοριών GICS καλύπτει σήμερα τους ακόλουθους γενικούς τομείς:</w:t>
      </w:r>
      <w:r>
        <w:rPr xmlns:w="http://schemas.openxmlformats.org/wordprocessingml/2006/main">
          <w:rFonts w:ascii="Arial" w:cs="Arial" w:eastAsia="Arial" w:hAnsi="Arial"/>
          <w:sz w:val="16"/>
          <w:szCs w:val="16"/>
          <w:color w:val="auto"/>
        </w:rPr>
        <w:t xml:space="preserve"> πρώτον, Λογισμικό και Υπηρεσίες Τεχνολογίας, συμπεριλαμβανομένων, μεταξύ άλλων, εταιρειών που αναπτύσσουν και παράγουν κατά κύριο λόγο λογισμικό για εφαρμογές για την αγορά των επιχειρηματικών καταναλωτών, συστήματα και διαχείριση βάσεων δεδομένων και εταιρειών που παρέχουν συμβουλευτικές υπηρεσίες και υπηρεσίες τεχνολογίας πληροφοριών, επεξεργασία δεδομένων και υπηρεσίες που ανατίθενται σε εξωτερικούς φορείς, καθώς και εταιρειών που παρέχουν υπηρεσίες και υποδομές για τη βιομηχανία του διαδικτύου (π.χ. υπηρεσίες δεδομένων, δικτύωση νέφους, υποδομές αποθήκευσης, φιλοξενία ιστοσελίδων)·</w:t>
      </w:r>
      <w:r>
        <w:rPr xmlns:w="http://schemas.openxmlformats.org/wordprocessingml/2006/main">
          <w:rFonts w:ascii="Arial" w:cs="Arial" w:eastAsia="Arial" w:hAnsi="Arial"/>
          <w:sz w:val="16"/>
          <w:szCs w:val="16"/>
          <w:color w:val="auto"/>
        </w:rPr>
        <w:t xml:space="preserve"> δεύτερον, Τεχνολογικό Υλικό και Εξοπλισμό, συμπεριλαμβανομένων, μεταξύ άλλων, κατασκευαστών και διανομέων εξοπλισμού επικοινωνιών, υπολογιστών και περιφερειακών, ηλεκτρονικού εξοπλισμού και συναφών οργάνων.</w:t>
      </w:r>
      <w:r>
        <w:rPr xmlns:w="http://schemas.openxmlformats.org/wordprocessingml/2006/main">
          <w:rFonts w:ascii="Arial" w:cs="Arial" w:eastAsia="Arial" w:hAnsi="Arial"/>
          <w:sz w:val="16"/>
          <w:szCs w:val="16"/>
          <w:color w:val="auto"/>
        </w:rPr>
        <w:t xml:space="preserve"> και τρίτον, κατασκευαστές ημιαγωγών και εξοπλισμού ημιαγωγών.</w:t>
      </w:r>
      <w:r>
        <w:rPr xmlns:w="http://schemas.openxmlformats.org/wordprocessingml/2006/main">
          <w:rFonts w:ascii="Arial" w:cs="Arial" w:eastAsia="Arial" w:hAnsi="Arial"/>
          <w:sz w:val="16"/>
          <w:szCs w:val="16"/>
          <w:color w:val="auto"/>
        </w:rPr>
        <w:t xml:space="preserve"> Ο δείκτης δεν μπορεί να περιλαμβάνει ή/και δεν μπορεί να περιορίζεται σε κάθε κατηγορία που περιλαμβάνει τον τομέα που αναφέρεται εδώ.</w:t>
      </w:r>
      <w:r>
        <w:rPr xmlns:w="http://schemas.openxmlformats.org/wordprocessingml/2006/main">
          <w:rFonts w:ascii="Arial" w:cs="Arial" w:eastAsia="Arial" w:hAnsi="Arial"/>
          <w:sz w:val="16"/>
          <w:szCs w:val="16"/>
          <w:color w:val="auto"/>
        </w:rPr>
        <w:t xml:space="preserve"> Οι εταιρείες περιλαμβάνονται στο Δείκτη με βάση τη σταθμισμένη αξία βάσει της ελεύθερης χρηματιστηριακής αξίας.</w:t>
      </w:r>
      <w:r>
        <w:rPr xmlns:w="http://schemas.openxmlformats.org/wordprocessingml/2006/main">
          <w:rFonts w:ascii="Arial" w:cs="Arial" w:eastAsia="Arial" w:hAnsi="Arial"/>
          <w:sz w:val="16"/>
          <w:szCs w:val="16"/>
          <w:color w:val="auto"/>
        </w:rPr>
        <w:t xml:space="preserve"> Η προσαρμογή βάσει της ελεύθερης διασποράς σημαίνει ότι για τον υπολογισμό του Δείκτη χρησιμοποιούνται μόνο μετοχές που είναι διαθέσιμες στους διεθνείς επενδυτές και όχι όλες οι μετοχές μιας εταιρείας.</w:t>
      </w:r>
      <w:r>
        <w:rPr xmlns:w="http://schemas.openxmlformats.org/wordprocessingml/2006/main">
          <w:rFonts w:ascii="Arial" w:cs="Arial" w:eastAsia="Arial" w:hAnsi="Arial"/>
          <w:sz w:val="16"/>
          <w:szCs w:val="16"/>
          <w:color w:val="auto"/>
        </w:rPr>
        <w:t xml:space="preserve"> Η ελεύθερη χρηματιστηριακή αξία είναι η τιμή της μετοχής μιας εταιρείας πολλαπλασιασμένη με τον αριθμό των μετοχών που είναι διαθέσιμες στους διεθνείς επενδυτές.</w:t>
      </w:r>
      <w:r>
        <w:rPr xmlns:w="http://schemas.openxmlformats.org/wordprocessingml/2006/main">
          <w:rFonts w:ascii="Arial" w:cs="Arial" w:eastAsia="Arial" w:hAnsi="Arial"/>
          <w:sz w:val="16"/>
          <w:szCs w:val="16"/>
          <w:color w:val="auto"/>
        </w:rPr>
        <w:t xml:space="preserve"> Ο δείκτης επισφραγίζει το βάρος των μεγαλύτερων εταιρειών σε κάθε επανεξισορρόπηση για να εξασφαλίσει τη διαφοροποίηση του δείκτη.</w:t>
      </w:r>
      <w:r>
        <w:rPr xmlns:w="http://schemas.openxmlformats.org/wordprocessingml/2006/main">
          <w:rFonts w:ascii="Arial" w:cs="Arial" w:eastAsia="Arial" w:hAnsi="Arial"/>
          <w:sz w:val="16"/>
          <w:szCs w:val="16"/>
          <w:color w:val="auto"/>
        </w:rPr>
        <w:t xml:space="preserve"> Ο συντελεστής στάθμισης της μεγαλύτερης οντότητας του ομίλου στον δείκτη περιορίζεται στο 33% και οι υπόλοιπες οντότητες του ομίλου στο 19%.</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διατηρώντας τους μετοχικούς τίτλους, οι οποίοι αποτελούν τον δείκτη, σε παρόμοιες αναλογίες με αυτόν.</w:t>
      </w:r>
    </w:p>
    <w:p>
      <w:pPr>
        <w:spacing w:after="0" w:line="48" w:lineRule="exact"/>
        <w:rPr>
          <w:sz w:val="24"/>
          <w:szCs w:val="24"/>
          <w:color w:val="auto"/>
        </w:rPr>
      </w:pPr>
    </w:p>
    <w:p>
      <w:pPr xmlns:w="http://schemas.openxmlformats.org/wordprocessingml/2006/main">
        <w:ind w:left="140" w:right="3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διαχειριστής επενδύσεων μπορεί να χρησιμοποιεί χρηματοοικονομικά παράγωγα μέσα (ΑΞΕ) (δηλαδή επενδύσεις οι τιμές των οποίων βασίζονται σε ένα ή περισσότερα υποκείμενα περιουσιακά στοιχεία) για να συμβάλει στην επίτευξη του επενδυτικού στόχου του Ταμείου.</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ΞΑΕ αναμένεται να είναι περιορισμένη.</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10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640"/>
          </w:cols>
          <w:pgMar w:left="640" w:top="573" w:right="62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8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2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6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702" w:lineRule="exact"/>
        <w:rPr>
          <w:sz w:val="24"/>
          <w:szCs w:val="24"/>
          <w:color w:val="auto"/>
        </w:rPr>
      </w:pPr>
    </w:p>
    <w:p>
      <w:pPr>
        <w:sectPr>
          <w:pgSz w:w="11900" w:h="16838" w:orient="portrait"/>
          <w:cols w:equalWidth="0" w:num="2">
            <w:col w:w="5180" w:space="380"/>
            <w:col w:w="5080"/>
          </w:cols>
          <w:pgMar w:left="640" w:top="573" w:right="62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3"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640"/>
          </w:cols>
          <w:pgMar w:left="640" w:top="573" w:right="62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0,15%**</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2015.</w:t>
      </w:r>
      <w:r>
        <w:rPr xmlns:w="http://schemas.openxmlformats.org/wordprocessingml/2006/main">
          <w:rFonts w:ascii="Arial" w:cs="Arial" w:eastAsia="Arial" w:hAnsi="Arial"/>
          <w:sz w:val="15"/>
          <w:szCs w:val="15"/>
          <w:color w:val="auto"/>
        </w:rPr>
        <w:t xml:space="preserve"> Η Share Class ξεκίνησε το 2015.</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jc w:val="both"/>
        <w:ind w:right="100" w:firstLine="8"/>
        <w:spacing w:after="0" w:line="311" w:lineRule="auto"/>
        <w:tabs>
          <w:tab w:leader="none" w:pos="120" w:val="left"/>
        </w:tabs>
        <w:numPr>
          <w:ilvl w:val="0"/>
          <w:numId w:val="4"/>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Δείκτης αναφοράς:S&amp;P 500 Capped 35/20 Information Technology Index (USD).</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Από τις 24 Σεπτεμβρίου 2018 υπήρξε αλλαγή στη σύνθεση του δείκτη αναφοράς.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13,4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49,7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42,7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33,5</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-28,4</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13,3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49,6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42,6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33,5</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-28,4</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144"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V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V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60"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V plc μπορεί να θεωρηθεί υπεύθυνη μόνο βάσει παραπλανητικής, ανακριβούς ή ασυμβατής με τα σχετικά μέρη δήλωσης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2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V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V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μεταβίβαση μετοχών μεταξύ του Ταμείου και άλλων επιμέρους κεφαλαίων εντός της iShares V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1781810</wp:posOffset>
            </wp:positionV>
            <wp:extent cx="1097280" cy="4572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31 Ιανουαρίου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C623934"/>
    <w:multiLevelType w:val="hybridMultilevel"/>
    <w:lvl w:ilvl="0">
      <w:lvlJc w:val="left"/>
      <w:lvlText w:val="-"/>
      <w:numFmt w:val="bullet"/>
      <w:start w:val="1"/>
    </w:lvl>
  </w:abstractNum>
  <w:abstractNum w:abstractNumId="1">
    <w:nsid w:val="350A97F0"/>
    <w:multiLevelType w:val="hybridMultilevel"/>
    <w:lvl w:ilvl="0">
      <w:lvlJc w:val="left"/>
      <w:lvlText w:val="-"/>
      <w:numFmt w:val="bullet"/>
      <w:start w:val="1"/>
    </w:lvl>
  </w:abstractNum>
  <w:abstractNum w:abstractNumId="2">
    <w:nsid w:val="74DE23D3"/>
    <w:multiLevelType w:val="hybridMultilevel"/>
    <w:lvl w:ilvl="0">
      <w:lvlJc w:val="left"/>
      <w:lvlText w:val="**"/>
      <w:numFmt w:val="bullet"/>
      <w:start w:val="1"/>
    </w:lvl>
  </w:abstractNum>
  <w:abstractNum w:abstractNumId="3">
    <w:nsid w:val="55FFC3D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jpe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jpe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jpeg"/><Relationship Id="rId53"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2024-05-20T14:20:36Z</dcterms:created>
  <dcterms:modified xsi:type="dcterms:W3CDTF">2024-05-20T14:20:36Z</dcterms:modified>
</cp:coreProperties>
</file>