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94817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4817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47.1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85355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5355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39.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6214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9.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9621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89.8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96214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89.8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96214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89.8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96214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89.8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40613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4061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7.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7487285</wp:posOffset>
                </wp:positionH>
                <wp:positionV relativeFrom="page">
                  <wp:posOffset>457200</wp:posOffset>
                </wp:positionV>
                <wp:extent cx="0" cy="840613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4061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9.55pt,36pt" to="589.55pt,697.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Βραχυπρόθεσμο Συμβόλαιο Μελλοντικής Εκπλήρωσης Επί Εμπορευμάτων</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94753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47535" cy="868680"/>
                        </a:xfrm>
                        <a:prstGeom prst="rect">
                          <a:avLst/>
                        </a:prstGeom>
                        <a:solidFill>
                          <a:srgbClr val="9CC2E5"/>
                        </a:solidFill>
                      </wps:spPr>
                      <wps:bodyPr/>
                    </wps:wsp>
                  </a:graphicData>
                </a:graphic>
              </wp:anchor>
            </w:drawing>
          </mc:Choice>
          <mc:Fallback>
            <w:pict>
              <v:rect id="Shape 10" o:spid="_x0000_s1035" style="position:absolute;margin-left:-4.8499pt;margin-top:2pt;width:547.0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22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Συμβόλαια Μελλοντικής Εκπλήρωσης Επί Βασικών Εμπορευμάτων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συμβόλαια μελλοντικής εκπλήρωσης επί βασικών εμπορευμάτων.</w:t>
      </w:r>
      <w:r>
        <w:rPr xmlns:w="http://schemas.openxmlformats.org/wordprocessingml/2006/main">
          <w:rFonts w:ascii="Calibri" w:cs="Calibri" w:eastAsia="Calibri" w:hAnsi="Calibri"/>
          <w:sz w:val="22"/>
          <w:szCs w:val="22"/>
          <w:color w:val="auto"/>
        </w:rPr>
        <w:t xml:space="preserve"> Τα συμβόλαια μελλοντικής εκπλήρωσης επί βασικών εμπορευμάτων είναι εισηγμένα και αποτελούν αντικείμενο διαπραγμάτευσης σε χρηματιστήρια συμβολαίων μελλοντικής εκπλήρωσης στις ΗΠΑ, τα οποία είναι καθορισμένες αγορές συμβολαίων που ρυθμίζονται από την Επιτροπή Προθεσμιακών Συναλλαγών επί Βασικών Εμπορευμάτων των ΗΠΑ ("CFTC"), και εκκαθαρίζονται και διακανονίζονται από την OCC, έναν οργανισμό εκκαθάρισης παραγώγων που είναι καταχωρημένος στην CFTC.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τα χρηματιστήρια συμβολαίων μελλοντικής εκπλήρωσης στις ΗΠΑ, οι επενδυτές μπορούν να επισκεφθούν τον δικτυακό τόπο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Τελευταία ενημέρωση 28 Δεκεμβρίου 2022 και 20 Απριλίου 2023.</w:t>
      </w:r>
    </w:p>
    <w:p>
      <w:pPr>
        <w:spacing w:after="0" w:line="83" w:lineRule="exact"/>
        <w:rPr>
          <w:sz w:val="24"/>
          <w:szCs w:val="24"/>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συμβόλαια μελλοντικής εκπλήρωσης επί βασικών εμπορευμάτων έως ότου διαβάσουν και κατανοήσουν το παρόν έγγραφο και τις τυχόν πρόσθετες γνωστοποιήσεις που παρέχει ο μεσίτης τους, η ουσία των οποίων μπορεί να περιλαμβάνει τα </w:t>
      </w:r>
      <w:r>
        <w:rPr xmlns:w="http://schemas.openxmlformats.org/wordprocessingml/2006/main">
          <w:rFonts w:ascii="Calibri" w:cs="Calibri" w:eastAsia="Calibri" w:hAnsi="Calibri"/>
          <w:sz w:val="22"/>
          <w:szCs w:val="22"/>
          <w:u w:val="single" w:color="auto"/>
          <w:color w:val="auto"/>
        </w:rPr>
        <w:t xml:space="preserve">ομοιόμορφα συμβόλαια μελλοντικής εκπλήρωσης και τις επιλογές της Ένωσης Προθεσμιακών Βιομηχανιών σχετικά με τις γνωστοποιήσεις κινδύνου συμβολαίων μελλοντικής εκπλήρωσης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https://lc.fia.org/uniform-futures-and-options-futures-risk-disclosures</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Οι γνωστοποιήσεις στο παρόν έγγραφο </w:t>
      </w:r>
      <w:r>
        <w:rPr xmlns:w="http://schemas.openxmlformats.org/wordprocessingml/2006/main">
          <w:rFonts w:ascii="Calibri" w:cs="Calibri" w:eastAsia="Calibri" w:hAnsi="Calibri"/>
          <w:sz w:val="22"/>
          <w:szCs w:val="22"/>
          <w:color w:val="auto"/>
        </w:rPr>
        <w:t xml:space="preserve">θα πρέπει να ερμηνεύονται κατά τρόπο συνεπή προς τις γνωστοποιήσεις αυτές.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947535" cy="49422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47535" cy="4942205"/>
                        </a:xfrm>
                        <a:prstGeom prst="rect">
                          <a:avLst/>
                        </a:prstGeom>
                        <a:solidFill>
                          <a:srgbClr val="BDD6EE"/>
                        </a:solidFill>
                      </wps:spPr>
                      <wps:bodyPr/>
                    </wps:wsp>
                  </a:graphicData>
                </a:graphic>
              </wp:anchor>
            </w:drawing>
          </mc:Choice>
          <mc:Fallback>
            <w:pict>
              <v:rect id="Shape 11" o:spid="_x0000_s1036" style="position:absolute;margin-left:-4.8499pt;margin-top:1.65pt;width:547.05pt;height:389.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2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Ένα συμβόλαιο μελλοντικής εκπλήρωσης επί εμπορευμάτων είναι μια συμφωνία μεταξύ δύο μερών για την αγορά ή πώληση ενός προκαθορισμένου ποσού ενός εμπορεύματος σε μια συγκεκριμένη τιμή σε μια μελλοντική ημερομηνία.</w:t>
      </w:r>
      <w:r>
        <w:rPr xmlns:w="http://schemas.openxmlformats.org/wordprocessingml/2006/main">
          <w:rFonts w:ascii="Calibri" w:cs="Calibri" w:eastAsia="Calibri" w:hAnsi="Calibri"/>
          <w:sz w:val="22"/>
          <w:szCs w:val="22"/>
          <w:color w:val="auto"/>
        </w:rPr>
        <w:t xml:space="preserve"> Ένα πρόσωπο που πωλεί ένα συμβόλαιο μελλοντικής εκπλήρωσης επί εμπορεύματος συνάπτει ένα συμβόλαιο για να πουλήσει ένα υποκείμενο εμπόρευμα και λέγεται ότι είναι «σύντομο» το συμβόλαιο.</w:t>
      </w:r>
      <w:r>
        <w:rPr xmlns:w="http://schemas.openxmlformats.org/wordprocessingml/2006/main">
          <w:rFonts w:ascii="Calibri" w:cs="Calibri" w:eastAsia="Calibri" w:hAnsi="Calibri"/>
          <w:sz w:val="22"/>
          <w:szCs w:val="22"/>
          <w:color w:val="auto"/>
        </w:rPr>
        <w:t xml:space="preserve"> Το άνοιγμα στο υποκείμενο βασικό εμπόρευμα είναι επομένως έμμεσο, διότι η μελλοντική αξία προκύπτει από την αξία του υποκείμενου εμπορεύματος.</w:t>
      </w:r>
      <w:r>
        <w:rPr xmlns:w="http://schemas.openxmlformats.org/wordprocessingml/2006/main">
          <w:rFonts w:ascii="Calibri" w:cs="Calibri" w:eastAsia="Calibri" w:hAnsi="Calibri"/>
          <w:sz w:val="22"/>
          <w:szCs w:val="22"/>
          <w:color w:val="auto"/>
        </w:rPr>
        <w:t xml:space="preserve"> Οι ημερομηνίες λήξης για τα συμβόλαια μελλοντικής εκπλήρωσης επί βασικών εμπορευμάτων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το μέλλον.</w:t>
      </w:r>
      <w:r>
        <w:rPr xmlns:w="http://schemas.openxmlformats.org/wordprocessingml/2006/main">
          <w:rFonts w:ascii="Calibri" w:cs="Calibri" w:eastAsia="Calibri" w:hAnsi="Calibri"/>
          <w:sz w:val="22"/>
          <w:szCs w:val="22"/>
          <w:color w:val="auto"/>
        </w:rPr>
        <w:t xml:space="preserve"> Σε ορισμένες εξαιρετικές περιπτώσεις, η ανταλλαγή συμβολαίων μελλοντικής εκπλήρωσης στις Η.Π.Α. στην οποία εκτελείται η συναλλαγή σας μπορεί να τροποποιήσει τους όρους του συμβολαίου μελλοντικής εκπλήρωσης ή να καταγγείλει τη σύμβαση.</w:t>
      </w:r>
      <w:r>
        <w:rPr xmlns:w="http://schemas.openxmlformats.org/wordprocessingml/2006/main">
          <w:rFonts w:ascii="Calibri" w:cs="Calibri" w:eastAsia="Calibri" w:hAnsi="Calibri"/>
          <w:sz w:val="22"/>
          <w:szCs w:val="22"/>
          <w:color w:val="auto"/>
        </w:rPr>
        <w:t xml:space="preserve"> Ένα γεγονός που αφορά το υποκείμενο εμπόρευμα μπορεί επίσης να οδηγήσει σε αλλαγή των όρων της σύμβασης συμβολαίων μελλοντικής εκπλήρωσης σύμφωνα με τους κανόνες της OCC, και η μεθοδολογία μπορεί να διαφέρει από οποιαδήποτε μεθοδολογία που χρησιμοποιείται στις ευρωπαϊκές αγορές.</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Ένα βραχυπρόθεσμο συμβόλαιο μελλοντικής εκπλήρωσης επί εμπορευμάτων είναι μια συμφωνία για την πώληση ενός προκαθορισμένου ποσού ενός εμπορεύματος σε μια προκαθορισμένη τιμή σε μια καθορισμένη μελλοντική ημερομηνία.</w:t>
      </w:r>
      <w:r>
        <w:rPr xmlns:w="http://schemas.openxmlformats.org/wordprocessingml/2006/main">
          <w:rFonts w:ascii="Calibri" w:cs="Calibri" w:eastAsia="Calibri" w:hAnsi="Calibri"/>
          <w:sz w:val="22"/>
          <w:szCs w:val="22"/>
          <w:color w:val="auto"/>
        </w:rPr>
        <w:t xml:space="preserve"> Ένας πωλητής γενικά συντάσσει ένα συμβόλαιο μελλοντικής εκπλήρωσης επί εμπορευμάτων με την προσδοκία ότι η τιμή του υποκείμενου εμπορεύματος θα μειωθεί έως την ημερομηνία λήξης του συμβολαίου.</w:t>
      </w:r>
      <w:r>
        <w:rPr xmlns:w="http://schemas.openxmlformats.org/wordprocessingml/2006/main">
          <w:rFonts w:ascii="Calibri" w:cs="Calibri" w:eastAsia="Calibri" w:hAnsi="Calibri"/>
          <w:sz w:val="22"/>
          <w:szCs w:val="22"/>
          <w:color w:val="auto"/>
        </w:rPr>
        <w:t xml:space="preserve"> Ο πωλητής θα πραγματοποιήσει ακαθάριστο κέρδος αν η αξία του υποκείμενου εμπορεύματος έχει μειωθεί κατά το κλείσιμο του μέλλοντος και θα πραγματοποιήσει ακαθάριστη ζημία αν έχει αυξηθεί.</w:t>
      </w:r>
      <w:r>
        <w:rPr xmlns:w="http://schemas.openxmlformats.org/wordprocessingml/2006/main">
          <w:rFonts w:ascii="Calibri" w:cs="Calibri" w:eastAsia="Calibri" w:hAnsi="Calibri"/>
          <w:sz w:val="22"/>
          <w:szCs w:val="22"/>
          <w:color w:val="auto"/>
        </w:rPr>
        <w:t xml:space="preserve"> Δεν υπάρχει συνιστώμενη περίοδος διακράτησης για συμβόλαια μελλοντικής εκπλήρωσης επί βασικών εμπορευμάτων.</w:t>
      </w:r>
      <w:r>
        <w:rPr xmlns:w="http://schemas.openxmlformats.org/wordprocessingml/2006/main">
          <w:rFonts w:ascii="Calibri" w:cs="Calibri" w:eastAsia="Calibri" w:hAnsi="Calibri"/>
          <w:sz w:val="22"/>
          <w:szCs w:val="22"/>
          <w:color w:val="auto"/>
        </w:rPr>
        <w:t xml:space="preserve"> Οι αγοραστές και οι πωλητές μπορούν να βιώσουν κέρδη ή ζημίες σε οποιοδήποτε σημείο μέχρι και την ημερομηνία λήξης του μέλλοντος.</w:t>
      </w:r>
      <w:r>
        <w:rPr xmlns:w="http://schemas.openxmlformats.org/wordprocessingml/2006/main">
          <w:rFonts w:ascii="Calibri" w:cs="Calibri" w:eastAsia="Calibri" w:hAnsi="Calibri"/>
          <w:sz w:val="22"/>
          <w:szCs w:val="22"/>
          <w:color w:val="auto"/>
        </w:rPr>
        <w:t xml:space="preserve"> Ενώ ένα μέλλον επί βασικών εμπορευμάτων έχει προκαθορισμένη ημερομηνία λήξης, μια ανοικτή θέση μπορεί να κλείσει με τη διενέργεια συναλλαγής συμψηφισμού πριν από τη λήξη της σύμβασης.</w:t>
      </w:r>
      <w:r>
        <w:rPr xmlns:w="http://schemas.openxmlformats.org/wordprocessingml/2006/main">
          <w:rFonts w:ascii="Calibri" w:cs="Calibri" w:eastAsia="Calibri" w:hAnsi="Calibri"/>
          <w:sz w:val="22"/>
          <w:szCs w:val="22"/>
          <w:color w:val="auto"/>
        </w:rPr>
        <w:t xml:space="preserve"> Τα συμβόλαια μελλοντικής εκπλήρωσης επί βασικών εμπορευμάτων που δεν εκκαθαρίζονται πριν από τη λήξη τους πρέπει να διακανονίζονται σύμφωνα με τους όρους της σύμβασης, για τα οποία ενδέχεται να απαιτείται διακανονισμός σε μετρητά.</w:t>
      </w:r>
      <w:r>
        <w:rPr xmlns:w="http://schemas.openxmlformats.org/wordprocessingml/2006/main">
          <w:rFonts w:ascii="Calibri" w:cs="Calibri" w:eastAsia="Calibri" w:hAnsi="Calibri"/>
          <w:sz w:val="22"/>
          <w:szCs w:val="22"/>
          <w:color w:val="auto"/>
        </w:rPr>
        <w:t xml:space="preserve"> Για τα συμβόλαια μελλοντικής εκπλήρωσης επί βασικών εμπορευμάτων που διακανονίζονται μέσω διακανονισμού τοις μετρητοίς, όλες οι θέσεις στο συμβόλαιο μελλοντικής εκπλήρωσης επί βασικών εμπορευμάτων που είναι ανοικτές στο τέλος της τελευταίας ημέρας διαπραγμάτευσης διακανονίζονται μέσω τελικής πληρωμής τοις μετρητοίς με βάση την τελική τιμή διακανονισμού για το υποκείμενο βασικό εμπόρευμα.</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βασικού μέλλοντος περιλαμβάνουν την αξία του υποκείμενου μέσου και την ευαισθησία του στις διακυμάνσεις των τιμών (μεταβλητότητα).</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48" w:lineRule="exact"/>
        <w:rPr>
          <w:sz w:val="24"/>
          <w:szCs w:val="24"/>
          <w:color w:val="auto"/>
        </w:rPr>
      </w:pPr>
    </w:p>
    <w:p>
      <w:pPr xmlns:w="http://schemas.openxmlformats.org/wordprocessingml/2006/main">
        <w:ind w:right="160"/>
        <w:spacing w:after="0" w:line="224"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στρατηγικής.</w:t>
      </w:r>
      <w:r>
        <w:rPr xmlns:w="http://schemas.openxmlformats.org/wordprocessingml/2006/main">
          <w:rFonts w:ascii="Calibri" w:cs="Calibri" w:eastAsia="Calibri" w:hAnsi="Calibri"/>
          <w:sz w:val="22"/>
          <w:szCs w:val="22"/>
          <w:color w:val="auto"/>
        </w:rPr>
        <w:t xml:space="preserve"> Τα συμβόλαια μελλοντικής εκπλήρωσης επί βασικών εμπορευμάτων δεν είναι κατάλληλα για όλους τους επενδυτές και προορίζονται μόνο για επενδυτές που έχουν πλήρη κατανόηση του προϊόντος και μπορούν να αντέξουν τις δυνητικές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9615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15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42.8pt,1.5pt" o:allowincell="f" strokecolor="#000000" strokeweight="0.4799pt"/>
            </w:pict>
          </mc:Fallback>
        </mc:AlternateContent>
      </w:r>
    </w:p>
    <w:p>
      <w:pPr>
        <w:sectPr>
          <w:pgSz w:w="12240" w:h="15840" w:orient="portrait"/>
          <w:cols w:equalWidth="0" w:num="1">
            <w:col w:w="10740"/>
          </w:cols>
          <w:pgMar w:left="940" w:top="699" w:right="56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6214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9.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86333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633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3.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7487285</wp:posOffset>
                </wp:positionH>
                <wp:positionV relativeFrom="page">
                  <wp:posOffset>457200</wp:posOffset>
                </wp:positionV>
                <wp:extent cx="0" cy="886333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633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9.55pt,36pt" to="589.55pt,733.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1175385</wp:posOffset>
            </wp:positionH>
            <wp:positionV relativeFrom="paragraph">
              <wp:posOffset>15875</wp:posOffset>
            </wp:positionV>
            <wp:extent cx="4895215" cy="1913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5215" cy="1913890"/>
                    </a:xfrm>
                    <a:prstGeom prst="rect">
                      <a:avLst/>
                    </a:prstGeom>
                    <a:noFill/>
                  </pic:spPr>
                </pic:pic>
              </a:graphicData>
            </a:graphic>
          </wp:anchor>
        </w:drawing>
        <w:drawing>
          <wp:anchor simplePos="0" relativeHeight="251657728" behindDoc="1" locked="0" layoutInCell="0" allowOverlap="1">
            <wp:simplePos x="0" y="0"/>
            <wp:positionH relativeFrom="column">
              <wp:posOffset>1175385</wp:posOffset>
            </wp:positionH>
            <wp:positionV relativeFrom="paragraph">
              <wp:posOffset>15875</wp:posOffset>
            </wp:positionV>
            <wp:extent cx="4895215" cy="1913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5215" cy="1913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xmlns:w="http://schemas.openxmlformats.org/wordprocessingml/2006/main">
        <w:ind w:right="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το σύνολο της επένδυσής σας, ή περισσότερα.</w:t>
      </w:r>
    </w:p>
    <w:p>
      <w:pPr>
        <w:spacing w:after="0" w:line="200" w:lineRule="exact"/>
        <w:rPr>
          <w:sz w:val="20"/>
          <w:szCs w:val="20"/>
          <w:color w:val="auto"/>
        </w:rPr>
      </w:pPr>
    </w:p>
    <w:p>
      <w:pPr>
        <w:spacing w:after="0" w:line="220"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ενός συμβολαίου μελλοντικής εκπλήρωσης επί εμπορευμάτων βραχείας διάρκειας εξαρτάται από τους όρους του, αλλά μπορεί να περιλαμβάνει τις ακόλουθες εκτιμήσεις:</w:t>
      </w:r>
    </w:p>
    <w:p>
      <w:pPr>
        <w:spacing w:after="0" w:line="80" w:lineRule="exact"/>
        <w:rPr>
          <w:sz w:val="20"/>
          <w:szCs w:val="20"/>
          <w:color w:val="auto"/>
        </w:rPr>
      </w:pPr>
    </w:p>
    <w:p>
      <w:pPr xmlns:w="http://schemas.openxmlformats.org/wordprocessingml/2006/main">
        <w:ind w:left="220" w:right="3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επί βασικών εμπορευμάτων που αποτελούν αντικείμενο διαπραγμάτευσης ενέχουν κίνδυνο και θα μπορούσαν να οδηγήσουν σε δυνητικά απεριόριστες ζημίες που υπερβαίνουν το ποσό που έχει κατατεθεί ως αρχικό περιθώριο.</w:t>
      </w:r>
    </w:p>
    <w:p>
      <w:pPr>
        <w:spacing w:after="0" w:line="80" w:lineRule="exact"/>
        <w:rPr>
          <w:rFonts w:ascii="Symbol" w:cs="Symbol" w:eastAsia="Symbol" w:hAnsi="Symbol"/>
          <w:sz w:val="22"/>
          <w:szCs w:val="22"/>
          <w:color w:val="auto"/>
        </w:rPr>
      </w:pPr>
    </w:p>
    <w:p>
      <w:pPr xmlns:w="http://schemas.openxmlformats.org/wordprocessingml/2006/main">
        <w:ind w:left="220" w:right="260" w:hanging="214"/>
        <w:spacing w:after="0" w:line="21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επί βασικών εμπορευμάτων είναι προϊόντα μόχλευσης.</w:t>
      </w:r>
      <w:r>
        <w:rPr xmlns:w="http://schemas.openxmlformats.org/wordprocessingml/2006/main">
          <w:rFonts w:ascii="Calibri" w:cs="Calibri" w:eastAsia="Calibri" w:hAnsi="Calibri"/>
          <w:sz w:val="22"/>
          <w:szCs w:val="22"/>
          <w:color w:val="auto"/>
        </w:rPr>
        <w:t xml:space="preserve"> Μικρές μεταβολές στην τιμή του μέλλοντος μπορεί να έχουν ως αποτέλεσμα μεγάλα κέρδη ή ζημίες.</w:t>
      </w:r>
      <w:r>
        <w:rPr xmlns:w="http://schemas.openxmlformats.org/wordprocessingml/2006/main">
          <w:rFonts w:ascii="Calibri" w:cs="Calibri" w:eastAsia="Calibri" w:hAnsi="Calibri"/>
          <w:sz w:val="22"/>
          <w:szCs w:val="22"/>
          <w:color w:val="auto"/>
        </w:rPr>
        <w:t xml:space="preserve"> Αν οι κινήσεις στις αγορές των συμβολαίων μελλοντικής εκπλήρωσης ή του υποκείμενου εμπορεύματος μειώσουν την αξία των θέσεών σας, αμέσως μπορεί να σας ζητηθεί να καταθέσετε πρόσθετο περιθώριο και η θέση σας μπορεί να ρευστοποιηθεί βίαια με ζημία.</w:t>
      </w:r>
    </w:p>
    <w:p>
      <w:pPr>
        <w:spacing w:after="0" w:line="80" w:lineRule="exact"/>
        <w:rPr>
          <w:rFonts w:ascii="Symbol" w:cs="Symbol" w:eastAsia="Symbol" w:hAnsi="Symbol"/>
          <w:sz w:val="22"/>
          <w:szCs w:val="22"/>
          <w:color w:val="auto"/>
        </w:rPr>
      </w:pPr>
    </w:p>
    <w:p>
      <w:pPr xmlns:w="http://schemas.openxmlformats.org/wordprocessingml/2006/main">
        <w:ind w:left="220" w:right="3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η διαπραγμάτευση σε ένα Αμερικανικό χρηματιστήριο συμβολαίων μελλοντικής εκπλήρωσης καταστεί μη διαθέσιμη, οι επενδυτές μπορεί να μην είναι σε θέση να κλείσουν μια θέση συμβολαίων μελλοντικής εκπλήρωσης σε ένα εμπόρευμα εγκαίρως.</w:t>
      </w:r>
      <w:r>
        <w:rPr xmlns:w="http://schemas.openxmlformats.org/wordprocessingml/2006/main">
          <w:rFonts w:ascii="Calibri" w:cs="Calibri" w:eastAsia="Calibri" w:hAnsi="Calibri"/>
          <w:sz w:val="22"/>
          <w:szCs w:val="22"/>
          <w:color w:val="auto"/>
        </w:rPr>
        <w:t xml:space="preserve"> Ενδέχεται να υπάρξουν περιπτώσεις κατά τις οποίες οι προθεσμιακές τιμές δεν θα διατηρούν συνήθεις ή αναμενόμενες σχέσεις ως προς τις τιμές των υποκείμενων ή συναφών συμφερόντων.</w:t>
      </w:r>
    </w:p>
    <w:p>
      <w:pPr>
        <w:spacing w:after="0" w:line="1"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77" w:lineRule="exact"/>
        <w:rPr>
          <w:rFonts w:ascii="Symbol" w:cs="Symbol" w:eastAsia="Symbol" w:hAnsi="Symbol"/>
          <w:sz w:val="22"/>
          <w:szCs w:val="22"/>
          <w:color w:val="auto"/>
        </w:rPr>
      </w:pPr>
    </w:p>
    <w:p>
      <w:pPr xmlns:w="http://schemas.openxmlformats.org/wordprocessingml/2006/main">
        <w:ind w:left="220" w:right="160" w:hanging="214"/>
        <w:spacing w:after="0" w:line="217" w:lineRule="auto"/>
        <w:tabs>
          <w:tab w:leader="none" w:pos="220" w:val="left"/>
        </w:tabs>
        <w:numPr>
          <w:ilvl w:val="0"/>
          <w:numId w:val="1"/>
        </w:numPr>
        <w:rPr>
          <w:rFonts w:ascii="Symbol" w:cs="Symbol" w:eastAsia="Symbol" w:hAnsi="Symbol"/>
          <w:sz w:val="16"/>
          <w:szCs w:val="16"/>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συμβολαίων μελλοντικής εκπλήρωσης επί εμπορευμάτων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341" w:lineRule="exact"/>
        <w:rPr>
          <w:sz w:val="20"/>
          <w:szCs w:val="20"/>
          <w:color w:val="auto"/>
        </w:rPr>
      </w:pPr>
    </w:p>
    <w:p>
      <w:pPr xmlns:w="http://schemas.openxmlformats.org/wordprocessingml/2006/main">
        <w:ind w:right="1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συναλλαγών που μπορεί να επηρεάσουν την αξία μιας συναλλαγής και της θέσης συμβολαίων μελλοντικής εκπλήρωσης επί εμπορευμάτων).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21590</wp:posOffset>
                </wp:positionH>
                <wp:positionV relativeFrom="paragraph">
                  <wp:posOffset>20320</wp:posOffset>
                </wp:positionV>
                <wp:extent cx="686435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643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pt,1.6pt" to="542.2pt,1.6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27940</wp:posOffset>
                </wp:positionH>
                <wp:positionV relativeFrom="paragraph">
                  <wp:posOffset>13970</wp:posOffset>
                </wp:positionV>
                <wp:extent cx="0" cy="171005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005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2pt,1.1pt" to="2.2pt,135.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3228340</wp:posOffset>
                </wp:positionH>
                <wp:positionV relativeFrom="paragraph">
                  <wp:posOffset>13970</wp:posOffset>
                </wp:positionV>
                <wp:extent cx="0" cy="171005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005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4.2pt,1.1pt" to="254.2pt,135.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5111750</wp:posOffset>
                </wp:positionH>
                <wp:positionV relativeFrom="paragraph">
                  <wp:posOffset>892175</wp:posOffset>
                </wp:positionV>
                <wp:extent cx="177419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77419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2.5pt,70.25pt" to="542.2pt,70.2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5118100</wp:posOffset>
                </wp:positionH>
                <wp:positionV relativeFrom="paragraph">
                  <wp:posOffset>13970</wp:posOffset>
                </wp:positionV>
                <wp:extent cx="0" cy="1710055"/>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0055"/>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3pt,1.1pt" to="403pt,135.75pt" o:allowincell="f" strokecolor="#000000" strokeweight="0.96pt"/>
            </w:pict>
          </mc:Fallback>
        </mc:AlternateContent>
      </w:r>
    </w:p>
    <w:p>
      <w:pPr>
        <w:sectPr>
          <w:pgSz w:w="12240" w:h="15840" w:orient="portrait"/>
          <w:cols w:equalWidth="0" w:num="1">
            <w:col w:w="10720"/>
          </w:cols>
          <w:pgMar w:left="940" w:top="706" w:right="580" w:bottom="631" w:gutter="0" w:footer="0" w:header="0"/>
        </w:sectPr>
      </w:pPr>
    </w:p>
    <w:p>
      <w:pPr>
        <w:spacing w:after="0" w:line="174" w:lineRule="exact"/>
        <w:rPr>
          <w:sz w:val="20"/>
          <w:szCs w:val="20"/>
          <w:color w:val="auto"/>
        </w:rPr>
      </w:pPr>
    </w:p>
    <w:p>
      <w:pPr xmlns:w="http://schemas.openxmlformats.org/wordprocessingml/2006/main">
        <w:jc w:val="center"/>
        <w:ind w:left="400"/>
        <w:spacing w:after="0"/>
        <w:rPr>
          <w:sz w:val="20"/>
          <w:szCs w:val="20"/>
          <w:color w:val="auto"/>
        </w:rPr>
      </w:pPr>
      <w:r>
        <w:rPr xmlns:w="http://schemas.openxmlformats.org/wordprocessingml/2006/main">
          <w:rFonts w:ascii="Calibri" w:cs="Calibri" w:eastAsia="Calibri" w:hAnsi="Calibri"/>
          <w:sz w:val="16"/>
          <w:szCs w:val="16"/>
          <w:color w:val="595959"/>
        </w:rPr>
        <w:t xml:space="preserve">P/L της σύντομης μελλοντικής θέσης</w:t>
      </w:r>
    </w:p>
    <w:p>
      <w:pPr xmlns:w="http://schemas.openxmlformats.org/wordprocessingml/2006/main">
        <w:ind w:left="240"/>
        <w:spacing w:after="0" w:line="181" w:lineRule="auto"/>
        <w:rPr>
          <w:sz w:val="20"/>
          <w:szCs w:val="20"/>
          <w:color w:val="auto"/>
        </w:rPr>
      </w:pPr>
      <w:r>
        <w:rPr xmlns:w="http://schemas.openxmlformats.org/wordprocessingml/2006/main">
          <w:rFonts w:ascii="Calibri" w:cs="Calibri" w:eastAsia="Calibri" w:hAnsi="Calibri"/>
          <w:sz w:val="18"/>
          <w:szCs w:val="18"/>
          <w:color w:val="595959"/>
        </w:rPr>
        <w:t xml:space="preserve">1.000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485140</wp:posOffset>
            </wp:positionH>
            <wp:positionV relativeFrom="paragraph">
              <wp:posOffset>-54610</wp:posOffset>
            </wp:positionV>
            <wp:extent cx="2512060" cy="9956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extLst>
                    </a:blip>
                    <a:srcRect/>
                    <a:stretch>
                      <a:fillRect/>
                    </a:stretch>
                  </pic:blipFill>
                  <pic:spPr bwMode="auto">
                    <a:xfrm>
                      <a:off x="0" y="0"/>
                      <a:ext cx="2512060" cy="995680"/>
                    </a:xfrm>
                    <a:prstGeom prst="rect">
                      <a:avLst/>
                    </a:prstGeom>
                    <a:noFill/>
                  </pic:spPr>
                </pic:pic>
              </a:graphicData>
            </a:graphic>
          </wp:anchor>
        </w:drawing>
      </w:r>
    </w:p>
    <w:p>
      <w:pPr>
        <w:spacing w:after="0" w:line="149" w:lineRule="exact"/>
        <w:rPr>
          <w:sz w:val="20"/>
          <w:szCs w:val="20"/>
          <w:color w:val="auto"/>
        </w:rPr>
      </w:pPr>
    </w:p>
    <w:p>
      <w:pPr xmlns:w="http://schemas.openxmlformats.org/wordprocessingml/2006/main">
        <w:ind w:left="320"/>
        <w:spacing w:after="0"/>
        <w:rPr>
          <w:sz w:val="20"/>
          <w:szCs w:val="20"/>
          <w:color w:val="auto"/>
        </w:rPr>
      </w:pPr>
      <w:r>
        <w:rPr xmlns:w="http://schemas.openxmlformats.org/wordprocessingml/2006/main">
          <w:rFonts w:ascii="Calibri" w:cs="Calibri" w:eastAsia="Calibri" w:hAnsi="Calibri"/>
          <w:sz w:val="18"/>
          <w:szCs w:val="18"/>
          <w:color w:val="595959"/>
        </w:rPr>
        <w:t xml:space="preserve">500</w:t>
      </w:r>
    </w:p>
    <w:p>
      <w:pPr>
        <w:spacing w:after="0" w:line="169" w:lineRule="exact"/>
        <w:rPr>
          <w:sz w:val="20"/>
          <w:szCs w:val="20"/>
          <w:color w:val="auto"/>
        </w:rPr>
      </w:pPr>
    </w:p>
    <w:tbl>
      <w:tblPr>
        <w:tblLayout w:type="fixed"/>
        <w:tblInd w:w="220" w:type="dxa"/>
        <w:tblCellMar>
          <w:top w:w="0" w:type="dxa"/>
          <w:left w:w="0" w:type="dxa"/>
          <w:bottom w:w="0" w:type="dxa"/>
          <w:right w:w="0" w:type="dxa"/>
        </w:tblCellMar>
      </w:tblPr>
      <w:tr>
        <w:trPr>
          <w:trHeight w:val="188"/>
        </w:trPr>
        <w:tc>
          <w:tcPr>
            <w:tcW w:w="20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2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w:t>
            </w:r>
          </w:p>
        </w:tc>
        <w:tc>
          <w:tcPr>
            <w:tcW w:w="0" w:type="dxa"/>
            <w:vAlign w:val="bottom"/>
          </w:tcPr>
          <w:p>
            <w:pPr>
              <w:spacing w:after="0"/>
              <w:rPr>
                <w:sz w:val="1"/>
                <w:szCs w:val="1"/>
                <w:color w:val="auto"/>
              </w:rPr>
            </w:pPr>
          </w:p>
        </w:tc>
      </w:tr>
      <w:tr>
        <w:trPr>
          <w:trHeight w:val="32"/>
        </w:trPr>
        <w:tc>
          <w:tcPr>
            <w:tcW w:w="200" w:type="dxa"/>
            <w:vAlign w:val="bottom"/>
          </w:tcPr>
          <w:p>
            <w:pPr>
              <w:spacing w:after="0"/>
              <w:rPr>
                <w:sz w:val="2"/>
                <w:szCs w:val="2"/>
                <w:color w:val="auto"/>
              </w:rPr>
            </w:pPr>
          </w:p>
        </w:tc>
        <w:tc>
          <w:tcPr>
            <w:tcW w:w="20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69" w:lineRule="exact"/>
        <w:rPr>
          <w:sz w:val="20"/>
          <w:szCs w:val="20"/>
          <w:color w:val="auto"/>
        </w:rPr>
      </w:pPr>
    </w:p>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18"/>
          <w:szCs w:val="18"/>
          <w:color w:val="595959"/>
        </w:rPr>
        <w:t xml:space="preserve">-500</w:t>
      </w:r>
    </w:p>
    <w:p>
      <w:pPr>
        <w:spacing w:after="0" w:line="169" w:lineRule="exact"/>
        <w:rPr>
          <w:sz w:val="20"/>
          <w:szCs w:val="20"/>
          <w:color w:val="auto"/>
        </w:rPr>
      </w:pPr>
    </w:p>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18"/>
          <w:szCs w:val="18"/>
          <w:color w:val="595959"/>
        </w:rPr>
        <w:t xml:space="preserve">-1.000</w:t>
      </w:r>
    </w:p>
    <w:p>
      <w:pPr>
        <w:spacing w:after="0" w:line="13" w:lineRule="exact"/>
        <w:rPr>
          <w:sz w:val="20"/>
          <w:szCs w:val="20"/>
          <w:color w:val="auto"/>
        </w:rPr>
      </w:pPr>
    </w:p>
    <w:p>
      <w:pPr xmlns:w="http://schemas.openxmlformats.org/wordprocessingml/2006/main">
        <w:ind w:left="640"/>
        <w:spacing w:after="0"/>
        <w:tabs>
          <w:tab w:leader="none" w:pos="1600" w:val="left"/>
          <w:tab w:leader="none" w:pos="2580" w:val="left"/>
          <w:tab w:leader="none" w:pos="3560" w:val="left"/>
          <w:tab w:leader="none" w:pos="4560" w:val="left"/>
        </w:tabs>
        <w:rPr>
          <w:sz w:val="20"/>
          <w:szCs w:val="20"/>
          <w:color w:val="auto"/>
        </w:rPr>
      </w:pP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45 $</w:t>
        <w:tab xmlns:w="http://schemas.openxmlformats.org/wordprocessingml/2006/main"/>
      </w:r>
      <w:r>
        <w:rPr xmlns:w="http://schemas.openxmlformats.org/wordprocessingml/2006/main">
          <w:rFonts w:ascii="Calibri" w:cs="Calibri" w:eastAsia="Calibri" w:hAnsi="Calibri"/>
          <w:sz w:val="18"/>
          <w:szCs w:val="18"/>
          <w:color w:val="595959"/>
        </w:rPr>
        <w:t xml:space="preserve">50 $</w:t>
        <w:tab xmlns:w="http://schemas.openxmlformats.org/wordprocessingml/2006/main"/>
      </w:r>
      <w:r>
        <w:rPr xmlns:w="http://schemas.openxmlformats.org/wordprocessingml/2006/main">
          <w:rFonts w:ascii="Calibri" w:cs="Calibri" w:eastAsia="Calibri" w:hAnsi="Calibri"/>
          <w:sz w:val="18"/>
          <w:szCs w:val="18"/>
          <w:color w:val="595959"/>
        </w:rPr>
        <w:t xml:space="preserve">55 $</w:t>
        <w:tab xmlns:w="http://schemas.openxmlformats.org/wordprocessingml/2006/main"/>
      </w:r>
      <w:r>
        <w:rPr xmlns:w="http://schemas.openxmlformats.org/wordprocessingml/2006/main">
          <w:rFonts w:ascii="Calibri" w:cs="Calibri" w:eastAsia="Calibri" w:hAnsi="Calibri"/>
          <w:sz w:val="17"/>
          <w:szCs w:val="17"/>
          <w:color w:val="595959"/>
        </w:rPr>
        <w:t xml:space="preserve">60 $</w:t>
      </w:r>
    </w:p>
    <w:p>
      <w:pPr xmlns:w="http://schemas.openxmlformats.org/wordprocessingml/2006/main">
        <w:ind w:left="1580"/>
        <w:spacing w:after="0" w:line="181" w:lineRule="auto"/>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τίτλου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Υπερτονισμένο (</w:t>
      </w:r>
      <w:r>
        <w:rPr xmlns:w="http://schemas.openxmlformats.org/wordprocessingml/2006/main">
          <w:rFonts w:ascii="Calibri" w:cs="Calibri" w:eastAsia="Calibri" w:hAnsi="Calibri"/>
          <w:sz w:val="16"/>
          <w:szCs w:val="16"/>
          <w:u w:val="single" w:color="auto"/>
          <w:color w:val="FF0000"/>
        </w:rPr>
        <w:t xml:space="preserve">Σημείο Κόκκινου Παρατηρητηρίου</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Προκαθορισμένη τιμή κατά τη λήξη:</w:t>
      </w:r>
      <w:r>
        <w:rPr xmlns:w="http://schemas.openxmlformats.org/wordprocessingml/2006/main">
          <w:rFonts w:ascii="Calibri" w:cs="Calibri" w:eastAsia="Calibri" w:hAnsi="Calibri"/>
          <w:sz w:val="16"/>
          <w:szCs w:val="16"/>
          <w:color w:val="auto"/>
        </w:rPr>
        <w:t xml:space="preserve"> 50 $</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Πραγματική αγοραία τιμή κατά τη λήξη:</w:t>
      </w:r>
      <w:r>
        <w:rPr xmlns:w="http://schemas.openxmlformats.org/wordprocessingml/2006/main">
          <w:rFonts w:ascii="Calibri" w:cs="Calibri" w:eastAsia="Calibri" w:hAnsi="Calibri"/>
          <w:sz w:val="16"/>
          <w:szCs w:val="16"/>
          <w:color w:val="auto"/>
        </w:rPr>
        <w:t xml:space="preserve"> 55 $</w:t>
      </w:r>
    </w:p>
    <w:p>
      <w:pPr>
        <w:spacing w:after="0" w:line="120" w:lineRule="exact"/>
        <w:rPr>
          <w:sz w:val="20"/>
          <w:szCs w:val="20"/>
          <w:color w:val="auto"/>
        </w:rPr>
      </w:pPr>
    </w:p>
    <w:p>
      <w:pPr xmlns:w="http://schemas.openxmlformats.org/wordprocessingml/2006/main">
        <w:ind w:left="280" w:hanging="144"/>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τον πωλητή (σύντομο) - $500</w:t>
      </w:r>
    </w:p>
    <w:p>
      <w:pPr>
        <w:spacing w:after="0" w:line="9" w:lineRule="exact"/>
        <w:rPr>
          <w:sz w:val="20"/>
          <w:szCs w:val="20"/>
          <w:color w:val="auto"/>
        </w:rPr>
      </w:pPr>
    </w:p>
    <w:tbl>
      <w:tblPr>
        <w:tblLayout w:type="fixed"/>
        <w:tblInd w:w="140" w:type="dxa"/>
        <w:tblCellMar>
          <w:top w:w="0" w:type="dxa"/>
          <w:left w:w="0" w:type="dxa"/>
          <w:bottom w:w="0" w:type="dxa"/>
          <w:right w:w="0" w:type="dxa"/>
        </w:tblCellMar>
      </w:tblPr>
      <w:tr>
        <w:trPr>
          <w:trHeight w:val="213"/>
        </w:trPr>
        <w:tc>
          <w:tcPr>
            <w:tcW w:w="1920" w:type="dxa"/>
            <w:vAlign w:val="bottom"/>
          </w:tcPr>
          <w:p>
            <w:pPr xmlns:w="http://schemas.openxmlformats.org/wordprocessingml/2006/main">
              <w:spacing w:after="0"/>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Ευνοϊκό για τον αγοραστή (μακρύ)</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+ 500 $</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-3279775</wp:posOffset>
                </wp:positionH>
                <wp:positionV relativeFrom="paragraph">
                  <wp:posOffset>829945</wp:posOffset>
                </wp:positionV>
                <wp:extent cx="686371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6371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8.2499pt,65.35pt" to="282.2pt,65.35pt" o:allowincell="f" strokecolor="#000000" strokeweight="0.96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w:t>
      </w:r>
      <w:r>
        <w:rPr xmlns:w="http://schemas.openxmlformats.org/wordprocessingml/2006/main">
          <w:rFonts w:ascii="Calibri" w:cs="Calibri" w:eastAsia="Calibri" w:hAnsi="Calibri"/>
          <w:sz w:val="16"/>
          <w:szCs w:val="16"/>
          <w:u w:val="single" w:color="auto"/>
          <w:color w:val="00B050"/>
        </w:rPr>
        <w:t xml:space="preserve">Πράσινο Σημείο Σχεδίασης</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Προκαθορισμένη τιμή κατά τη λήξη:</w:t>
      </w:r>
      <w:r>
        <w:rPr xmlns:w="http://schemas.openxmlformats.org/wordprocessingml/2006/main">
          <w:rFonts w:ascii="Calibri" w:cs="Calibri" w:eastAsia="Calibri" w:hAnsi="Calibri"/>
          <w:sz w:val="16"/>
          <w:szCs w:val="16"/>
          <w:color w:val="auto"/>
        </w:rPr>
        <w:t xml:space="preserve"> 50 $</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Πραγματική αγοραία τιμή κατά τη λήξη:</w:t>
      </w:r>
      <w:r>
        <w:rPr xmlns:w="http://schemas.openxmlformats.org/wordprocessingml/2006/main">
          <w:rFonts w:ascii="Calibri" w:cs="Calibri" w:eastAsia="Calibri" w:hAnsi="Calibri"/>
          <w:sz w:val="16"/>
          <w:szCs w:val="16"/>
          <w:color w:val="auto"/>
        </w:rPr>
        <w:t xml:space="preserve"> 49 $</w:t>
      </w:r>
    </w:p>
    <w:p>
      <w:pPr>
        <w:spacing w:after="0" w:line="86" w:lineRule="exact"/>
        <w:rPr>
          <w:sz w:val="20"/>
          <w:szCs w:val="20"/>
          <w:color w:val="auto"/>
        </w:rPr>
      </w:pPr>
    </w:p>
    <w:p>
      <w:pPr xmlns:w="http://schemas.openxmlformats.org/wordprocessingml/2006/main">
        <w:ind w:left="160"/>
        <w:spacing w:after="0"/>
        <w:tabs>
          <w:tab w:leader="none" w:pos="21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Ευνοϊκό για τον πωλητή (σύντομο)</w:t>
        <w:tab xmlns:w="http://schemas.openxmlformats.org/wordprocessingml/2006/main"/>
      </w:r>
      <w:r>
        <w:rPr xmlns:w="http://schemas.openxmlformats.org/wordprocessingml/2006/main">
          <w:rFonts w:ascii="Calibri" w:cs="Calibri" w:eastAsia="Calibri" w:hAnsi="Calibri"/>
          <w:sz w:val="16"/>
          <w:szCs w:val="16"/>
          <w:color w:val="auto"/>
        </w:rPr>
        <w:t xml:space="preserve">+ 100 $</w:t>
      </w:r>
    </w:p>
    <w:p>
      <w:pPr xmlns:w="http://schemas.openxmlformats.org/wordprocessingml/2006/main">
        <w:ind w:left="300" w:hanging="148"/>
        <w:spacing w:after="0" w:line="224" w:lineRule="auto"/>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τον αγοραστή (μακρύ) - $100</w:t>
      </w:r>
    </w:p>
    <w:p>
      <w:pPr>
        <w:spacing w:after="0" w:line="263" w:lineRule="exact"/>
        <w:rPr>
          <w:sz w:val="20"/>
          <w:szCs w:val="20"/>
          <w:color w:val="auto"/>
        </w:rPr>
      </w:pPr>
    </w:p>
    <w:p>
      <w:pPr xmlns:w="http://schemas.openxmlformats.org/wordprocessingml/2006/main">
        <w:ind w:right="6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προκύπτει όταν η προκαθορισμένη τιμή ισούται με την πραγματική αγοραία τιμή.</w:t>
      </w:r>
    </w:p>
    <w:p>
      <w:pPr>
        <w:spacing w:after="0" w:line="489" w:lineRule="exact"/>
        <w:rPr>
          <w:sz w:val="20"/>
          <w:szCs w:val="20"/>
          <w:color w:val="auto"/>
        </w:rPr>
      </w:pPr>
    </w:p>
    <w:p>
      <w:pPr>
        <w:sectPr>
          <w:pgSz w:w="12240" w:h="15840" w:orient="portrait"/>
          <w:cols w:equalWidth="0" w:num="3">
            <w:col w:w="4840" w:space="360"/>
            <w:col w:w="2620" w:space="340"/>
            <w:col w:w="2560"/>
          </w:cols>
          <w:pgMar w:left="940" w:top="706" w:right="580" w:bottom="631" w:gutter="0" w:footer="0" w:header="0"/>
          <w:type w:val="continuous"/>
        </w:sectPr>
      </w:pPr>
    </w:p>
    <w:p>
      <w:pPr>
        <w:spacing w:after="0" w:line="91" w:lineRule="exact"/>
        <w:rPr>
          <w:sz w:val="20"/>
          <w:szCs w:val="20"/>
          <w:color w:val="auto"/>
        </w:rPr>
      </w:pPr>
    </w:p>
    <w:p>
      <w:pPr xmlns:w="http://schemas.openxmlformats.org/wordprocessingml/2006/main">
        <w:ind w:right="40"/>
        <w:spacing w:after="0" w:line="230"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είναι μια ακριβής ένδειξη του τι μπορεί να πάρετε πίσω.</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πάρετε πίσω θα ποικίλει ανάλογα με το πώς το υποκείμενο θα αναπτυχθεί που εξαρτάται από τη μελλοντική απόδοση της αγοράς που είναι αβέβαιο και δεν μπορεί να προβλεφθεί.</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δείχνει τις πιθανές τιμές της υποκείμενης τιμής και ο κατακόρυφος άξονας δείχνει το κέρδος ή τη ζημία.</w:t>
      </w:r>
      <w:r>
        <w:rPr xmlns:w="http://schemas.openxmlformats.org/wordprocessingml/2006/main">
          <w:rFonts w:ascii="Calibri" w:cs="Calibri" w:eastAsia="Calibri" w:hAnsi="Calibri"/>
          <w:sz w:val="22"/>
          <w:szCs w:val="22"/>
          <w:color w:val="auto"/>
        </w:rPr>
        <w:t xml:space="preserve"> Η</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96150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15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42.8pt,1.4pt" o:allowincell="f" strokecolor="#000000" strokeweight="0.4799pt"/>
            </w:pict>
          </mc:Fallback>
        </mc:AlternateContent>
      </w:r>
    </w:p>
    <w:p>
      <w:pPr>
        <w:sectPr>
          <w:pgSz w:w="12240" w:h="15840" w:orient="portrait"/>
          <w:cols w:equalWidth="0" w:num="1">
            <w:col w:w="10720"/>
          </w:cols>
          <w:pgMar w:left="940" w:top="706" w:right="580" w:bottom="631" w:gutter="0" w:footer="0" w:header="0"/>
          <w:type w:val="continuous"/>
        </w:sectPr>
      </w:pPr>
    </w:p>
    <w:bookmarkStart w:id="2" w:name="page3"/>
    <w:bookmarkEnd w:id="2"/>
    <w:p>
      <w:pPr xmlns:w="http://schemas.openxmlformats.org/wordprocessingml/2006/main">
        <w:jc w:val="both"/>
        <w:ind w:left="220" w:right="44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6214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9.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96214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89.8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2177415</wp:posOffset>
                </wp:positionV>
                <wp:extent cx="696214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71.45pt" to="589.8pt,171.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6789420</wp:posOffset>
                </wp:positionV>
                <wp:extent cx="696214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34.6pt" to="589.8pt,534.6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7818120</wp:posOffset>
                </wp:positionV>
                <wp:extent cx="696214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5.6pt" to="589.8pt,615.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828405"/>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7487285</wp:posOffset>
                </wp:positionH>
                <wp:positionV relativeFrom="page">
                  <wp:posOffset>457200</wp:posOffset>
                </wp:positionV>
                <wp:extent cx="0" cy="882840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9.55pt,36pt" to="589.55pt,73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επιστρέφετε.</w:t>
      </w:r>
    </w:p>
    <w:p>
      <w:pPr>
        <w:spacing w:after="0" w:line="77" w:lineRule="exact"/>
        <w:rPr>
          <w:sz w:val="20"/>
          <w:szCs w:val="20"/>
          <w:color w:val="auto"/>
        </w:rPr>
      </w:pPr>
    </w:p>
    <w:p>
      <w:pPr xmlns:w="http://schemas.openxmlformats.org/wordprocessingml/2006/main">
        <w:ind w:left="220" w:right="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οι επιδόσεις σε όλα τα συμβόλαια μελλοντικής εκπλήρωσης επί βασικών εμπορευμάτων να είναι μεταξύ της OCC και ενός ομίλου εταιρειών μεσιτείας που ονομάζονται εκκαθαριστικά μέλη και οι οποίες μεταφέρουν τις θέσεις των πελατών τους στους λογαριασμούς OCC.</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πελατών τους.</w:t>
      </w:r>
      <w:r>
        <w:rPr xmlns:w="http://schemas.openxmlformats.org/wordprocessingml/2006/main">
          <w:rFonts w:ascii="Calibri" w:cs="Calibri" w:eastAsia="Calibri" w:hAnsi="Calibri"/>
          <w:sz w:val="22"/>
          <w:szCs w:val="22"/>
          <w:color w:val="auto"/>
        </w:rPr>
        <w:t xml:space="preserve"> Η εταιρεία μεσιτείας ενός επενδυτή μπορεί να απαιτήσει από τον επενδυτή να παράσχει σχετική ασφάλεια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αποσκοπεί στη διαχείριση του κινδύνου αντισυμβαλλομένου και στη διευκόλυνση του διακανονισμού των συναλλαγών συμβολαίων μελλοντικής εκπλήρωσης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η OCC να μην έχει επαρκείς οικονομικούς πόρους για να διευθετήσει τις υποχρεώσεις.</w:t>
      </w:r>
    </w:p>
    <w:p>
      <w:pPr>
        <w:sectPr>
          <w:pgSz w:w="12240" w:h="15840" w:orient="portrait"/>
          <w:cols w:equalWidth="0" w:num="1">
            <w:col w:w="10960"/>
          </w:cols>
          <w:pgMar w:left="720" w:top="774" w:right="560" w:bottom="405" w:gutter="0" w:footer="0" w:header="0"/>
        </w:sectPr>
      </w:pPr>
    </w:p>
    <w:p>
      <w:pPr>
        <w:spacing w:after="0" w:line="81" w:lineRule="exact"/>
        <w:rPr>
          <w:sz w:val="20"/>
          <w:szCs w:val="20"/>
          <w:color w:val="auto"/>
        </w:rPr>
      </w:pPr>
    </w:p>
    <w:p>
      <w:pPr xmlns:w="http://schemas.openxmlformats.org/wordprocessingml/2006/main">
        <w:ind w:left="220"/>
        <w:spacing w:after="0" w:line="23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22"/>
          <w:szCs w:val="22"/>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r>
        <w:rPr xmlns:w="http://schemas.openxmlformats.org/wordprocessingml/2006/main">
          <w:rFonts w:ascii="Calibri" w:cs="Calibri" w:eastAsia="Calibri" w:hAnsi="Calibri"/>
          <w:sz w:val="22"/>
          <w:szCs w:val="22"/>
          <w:color w:val="auto"/>
        </w:rPr>
        <w:t xml:space="preserve"> Το συνολικό κόστος των συμβολαίων μελλοντικής εκπλήρωσης επί βασικών εμπορευμάτων εξαρτάται από πολλαπλούς παράγοντες.</w:t>
      </w:r>
      <w:r>
        <w:rPr xmlns:w="http://schemas.openxmlformats.org/wordprocessingml/2006/main">
          <w:rFonts w:ascii="Calibri" w:cs="Calibri" w:eastAsia="Calibri" w:hAnsi="Calibri"/>
          <w:sz w:val="22"/>
          <w:szCs w:val="22"/>
          <w:color w:val="auto"/>
        </w:rPr>
        <w:t xml:space="preserve"> Η απαίτηση αρχικού περιθωρίου ασφαλείας είναι το ποσό που απαιτείται να κατατεθεί από τον επενδυτή στον μεσίτη τους προκειμένου να συνάψει το συμβόλαιο μελλοντικής εκπλήρωσης επί εμπορευμάτων.</w:t>
      </w:r>
      <w:r>
        <w:rPr xmlns:w="http://schemas.openxmlformats.org/wordprocessingml/2006/main">
          <w:rFonts w:ascii="Calibri" w:cs="Calibri" w:eastAsia="Calibri" w:hAnsi="Calibri"/>
          <w:sz w:val="22"/>
          <w:szCs w:val="22"/>
          <w:color w:val="auto"/>
        </w:rPr>
        <w:t xml:space="preserve"> Το ποσό αυτό είναι γενικά ίσο με ένα συγκεκριμένο ποσοστό της τρέχουσας αγοραίας αξίας της σύμβασης.</w:t>
      </w:r>
      <w:r>
        <w:rPr xmlns:w="http://schemas.openxmlformats.org/wordprocessingml/2006/main">
          <w:rFonts w:ascii="Calibri" w:cs="Calibri" w:eastAsia="Calibri" w:hAnsi="Calibri"/>
          <w:sz w:val="22"/>
          <w:szCs w:val="22"/>
          <w:color w:val="auto"/>
        </w:rPr>
        <w:t xml:space="preserve"> Το συμβόλαιο μελλοντικής εκπλήρωσης επί βασικών εμπορευμάτων χαρακτηρίζεται επίσης από την τρέχουσα τιμή της αγοράς τουλάχιστον σε καθημερινή βάση, και ο λογαριασμός κάθε αγοραστή θα αντικατοπτρίζει το ποσό κάθε κέρδους ή ζημίας επί του συμβολαίου με βάση την ημερήσια τιμή διακανονισμού του συμβολαίου και ενδέχεται να απαιτούνται πρόσθετες καταθέσεις περιθωρίου διαφορών αποτίμησης.</w:t>
      </w:r>
      <w:r>
        <w:rPr xmlns:w="http://schemas.openxmlformats.org/wordprocessingml/2006/main">
          <w:rFonts w:ascii="Calibri" w:cs="Calibri" w:eastAsia="Calibri" w:hAnsi="Calibri"/>
          <w:sz w:val="22"/>
          <w:szCs w:val="22"/>
          <w:color w:val="auto"/>
        </w:rPr>
        <w:t xml:space="preserve"> Οι μεμονωμένες χρηματιστηριακές εταιρείες μπορούν επίσης να απαιτούν επιπλέον περιθώριο πέρα από αυτό που απαιτείται από την OCC και τα χρηματιστήρια συμβολαίων μελλοντικής εκπλήρωσης στις ΗΠΑ.</w:t>
      </w:r>
      <w:r>
        <w:rPr xmlns:w="http://schemas.openxmlformats.org/wordprocessingml/2006/main">
          <w:rFonts w:ascii="Calibri" w:cs="Calibri" w:eastAsia="Calibri" w:hAnsi="Calibri"/>
          <w:sz w:val="22"/>
          <w:szCs w:val="22"/>
          <w:color w:val="auto"/>
        </w:rPr>
        <w:t xml:space="preserve"> Στους παράγοντες που επηρεάζουν σημαντικά την αγοραία αξία ενός συμβολαίου μελλοντικής εκπλήρωσης επί βασικών εμπορευμάτων περιλαμβάνονται, μεταξύ άλλων, η τιμή του υποκείμενου μέσου και ο χρόνος έως τη λήξη.</w:t>
      </w:r>
      <w:r>
        <w:rPr xmlns:w="http://schemas.openxmlformats.org/wordprocessingml/2006/main">
          <w:rFonts w:ascii="Calibri" w:cs="Calibri" w:eastAsia="Calibri" w:hAnsi="Calibri"/>
          <w:sz w:val="22"/>
          <w:szCs w:val="22"/>
          <w:color w:val="auto"/>
        </w:rPr>
        <w:t xml:space="preserve"> Τα συμβόλαια μελλοντικής εκπλήρωσης που επενδύουν περιλαμβάνουν πρόσθετες δαπάνες που περιλαμβάνουν φορολογικές θεωρήσεις, κόστος συναλλαγής και απαιτήσεις περιθωρίου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280"/>
        </w:trPr>
        <w:tc>
          <w:tcPr>
            <w:tcW w:w="1560" w:type="dxa"/>
            <w:vAlign w:val="bottom"/>
            <w:tcBorders>
              <w:top w:val="single" w:sz="8" w:color="auto"/>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6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40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540" w:type="dxa"/>
            <w:vAlign w:val="bottom"/>
            <w:tcBorders>
              <w:top w:val="single" w:sz="8" w:color="auto"/>
              <w:bottom w:val="single" w:sz="8" w:color="auto"/>
              <w:right w:val="single" w:sz="8" w:color="auto"/>
            </w:tcBorders>
            <w:shd w:val="clear" w:color="auto" w:fill="DADADA"/>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r>
      <w:tr>
        <w:trPr>
          <w:trHeight w:val="249"/>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r>
      <w:tr>
        <w:trPr>
          <w:trHeight w:val="244"/>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r>
      <w:tr>
        <w:trPr>
          <w:trHeight w:val="247"/>
        </w:trPr>
        <w:tc>
          <w:tcPr>
            <w:tcW w:w="1560" w:type="dxa"/>
            <w:vAlign w:val="bottom"/>
            <w:tcBorders>
              <w:bottom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tcBorders>
          </w:tcPr>
          <w:p>
            <w:pPr>
              <w:spacing w:after="0"/>
              <w:rPr>
                <w:sz w:val="21"/>
                <w:szCs w:val="21"/>
                <w:color w:val="auto"/>
              </w:rPr>
            </w:pPr>
          </w:p>
        </w:tc>
        <w:tc>
          <w:tcPr>
            <w:tcW w:w="1540" w:type="dxa"/>
            <w:vAlign w:val="bottom"/>
            <w:tcBorders>
              <w:bottom w:val="single" w:sz="8" w:color="auto"/>
            </w:tcBorders>
          </w:tcPr>
          <w:p>
            <w:pPr>
              <w:spacing w:after="0"/>
              <w:rPr>
                <w:sz w:val="21"/>
                <w:szCs w:val="21"/>
                <w:color w:val="auto"/>
              </w:rPr>
            </w:pPr>
          </w:p>
        </w:tc>
      </w:tr>
      <w:tr>
        <w:trPr>
          <w:trHeight w:val="241"/>
        </w:trPr>
        <w:tc>
          <w:tcPr>
            <w:tcW w:w="3720" w:type="dxa"/>
            <w:vAlign w:val="bottom"/>
            <w:tcBorders>
              <w:left w:val="single" w:sz="8" w:color="auto"/>
              <w:bottom w:val="single" w:sz="8" w:color="auto"/>
              <w:right w:val="single" w:sz="8" w:color="DADADA"/>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540" w:type="dxa"/>
            <w:vAlign w:val="bottom"/>
            <w:tcBorders>
              <w:bottom w:val="single" w:sz="8" w:color="auto"/>
              <w:right w:val="single" w:sz="8" w:color="auto"/>
            </w:tcBorders>
            <w:shd w:val="clear" w:color="auto" w:fill="DADADA"/>
          </w:tcPr>
          <w:p>
            <w:pPr>
              <w:spacing w:after="0"/>
              <w:rPr>
                <w:sz w:val="20"/>
                <w:szCs w:val="20"/>
                <w:color w:val="auto"/>
              </w:rPr>
            </w:pPr>
          </w:p>
        </w:tc>
      </w:tr>
      <w:tr>
        <w:trPr>
          <w:trHeight w:val="249"/>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540" w:type="dxa"/>
            <w:vAlign w:val="bottom"/>
            <w:tcBorders>
              <w:bottom w:val="single" w:sz="8" w:color="auto"/>
              <w:right w:val="single" w:sz="8" w:color="auto"/>
            </w:tcBorders>
            <w:shd w:val="clear" w:color="auto" w:fill="DADADA"/>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r>
      <w:tr>
        <w:trPr>
          <w:trHeight w:val="205"/>
        </w:trPr>
        <w:tc>
          <w:tcPr>
            <w:tcW w:w="1560" w:type="dxa"/>
            <w:vAlign w:val="bottom"/>
            <w:tcBorders>
              <w:left w:val="single" w:sz="8" w:color="auto"/>
              <w:right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2060" w:type="dxa"/>
            <w:vAlign w:val="bottom"/>
            <w:tcBorders>
              <w:right w:val="single" w:sz="8" w:color="auto"/>
            </w:tcBorders>
            <w:gridSpan w:val="4"/>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54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100" w:type="dxa"/>
            <w:vAlign w:val="bottom"/>
          </w:tcPr>
          <w:p>
            <w:pPr>
              <w:spacing w:after="0"/>
              <w:rPr>
                <w:sz w:val="19"/>
                <w:szCs w:val="19"/>
                <w:color w:val="auto"/>
              </w:rPr>
            </w:pPr>
          </w:p>
        </w:tc>
        <w:tc>
          <w:tcPr>
            <w:tcW w:w="206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540" w:type="dxa"/>
            <w:vAlign w:val="bottom"/>
            <w:tcBorders>
              <w:right w:val="single" w:sz="8" w:color="auto"/>
            </w:tcBorders>
          </w:tcPr>
          <w:p>
            <w:pPr>
              <w:spacing w:after="0"/>
              <w:rPr>
                <w:sz w:val="19"/>
                <w:szCs w:val="19"/>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18"/>
                <w:szCs w:val="18"/>
                <w:color w:val="auto"/>
              </w:rPr>
            </w:pPr>
          </w:p>
        </w:tc>
        <w:tc>
          <w:tcPr>
            <w:tcW w:w="206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540" w:type="dxa"/>
            <w:vAlign w:val="bottom"/>
            <w:tcBorders>
              <w:right w:val="single" w:sz="8" w:color="auto"/>
            </w:tcBorders>
          </w:tcPr>
          <w:p>
            <w:pPr>
              <w:spacing w:after="0"/>
              <w:rPr>
                <w:sz w:val="18"/>
                <w:szCs w:val="18"/>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4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0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5"/>
        </w:trPr>
        <w:tc>
          <w:tcPr>
            <w:tcW w:w="1560" w:type="dxa"/>
            <w:vAlign w:val="bottom"/>
            <w:tcBorders>
              <w:left w:val="single" w:sz="8" w:color="auto"/>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400" w:type="dxa"/>
            <w:vAlign w:val="bottom"/>
            <w:tcBorders>
              <w:right w:val="single" w:sz="8" w:color="auto"/>
            </w:tcBorders>
            <w:shd w:val="clear" w:color="auto" w:fill="DADADA"/>
          </w:tcPr>
          <w:p>
            <w:pPr>
              <w:spacing w:after="0"/>
              <w:rPr>
                <w:sz w:val="17"/>
                <w:szCs w:val="17"/>
                <w:color w:val="auto"/>
              </w:rPr>
            </w:pPr>
          </w:p>
        </w:tc>
        <w:tc>
          <w:tcPr>
            <w:tcW w:w="1540" w:type="dxa"/>
            <w:vAlign w:val="bottom"/>
            <w:tcBorders>
              <w:right w:val="single" w:sz="8" w:color="auto"/>
            </w:tcBorders>
            <w:shd w:val="clear" w:color="auto" w:fill="DADADA"/>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r>
      <w:tr>
        <w:trPr>
          <w:trHeight w:val="234"/>
        </w:trPr>
        <w:tc>
          <w:tcPr>
            <w:tcW w:w="1560" w:type="dxa"/>
            <w:vAlign w:val="bottom"/>
            <w:tcBorders>
              <w:left w:val="single" w:sz="8" w:color="auto"/>
              <w:bottom w:val="single" w:sz="8" w:color="auto"/>
              <w:right w:val="single" w:sz="8" w:color="DADADA"/>
            </w:tcBorders>
            <w:shd w:val="clear" w:color="auto" w:fill="DADADA"/>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100" w:type="dxa"/>
            <w:vAlign w:val="bottom"/>
            <w:tcBorders>
              <w:bottom w:val="single" w:sz="8" w:color="auto"/>
            </w:tcBorders>
            <w:shd w:val="clear" w:color="auto" w:fill="DADADA"/>
          </w:tcPr>
          <w:p>
            <w:pPr>
              <w:spacing w:after="0"/>
              <w:rPr>
                <w:sz w:val="20"/>
                <w:szCs w:val="20"/>
                <w:color w:val="auto"/>
              </w:rPr>
            </w:pPr>
          </w:p>
        </w:tc>
        <w:tc>
          <w:tcPr>
            <w:tcW w:w="240" w:type="dxa"/>
            <w:vAlign w:val="bottom"/>
            <w:tcBorders>
              <w:bottom w:val="single" w:sz="8" w:color="auto"/>
            </w:tcBorders>
            <w:shd w:val="clear" w:color="auto" w:fill="DADADA"/>
          </w:tcPr>
          <w:p>
            <w:pPr>
              <w:spacing w:after="0"/>
              <w:rPr>
                <w:sz w:val="20"/>
                <w:szCs w:val="20"/>
                <w:color w:val="auto"/>
              </w:rPr>
            </w:pPr>
          </w:p>
        </w:tc>
        <w:tc>
          <w:tcPr>
            <w:tcW w:w="460" w:type="dxa"/>
            <w:vAlign w:val="bottom"/>
            <w:tcBorders>
              <w:bottom w:val="single" w:sz="8" w:color="auto"/>
            </w:tcBorders>
            <w:shd w:val="clear" w:color="auto" w:fill="DADADA"/>
          </w:tcPr>
          <w:p>
            <w:pPr>
              <w:spacing w:after="0"/>
              <w:rPr>
                <w:sz w:val="20"/>
                <w:szCs w:val="20"/>
                <w:color w:val="auto"/>
              </w:rPr>
            </w:pPr>
          </w:p>
        </w:tc>
        <w:tc>
          <w:tcPr>
            <w:tcW w:w="960" w:type="dxa"/>
            <w:vAlign w:val="bottom"/>
            <w:tcBorders>
              <w:bottom w:val="single" w:sz="8" w:color="auto"/>
            </w:tcBorders>
            <w:shd w:val="clear" w:color="auto" w:fill="DADADA"/>
          </w:tcPr>
          <w:p>
            <w:pPr>
              <w:spacing w:after="0"/>
              <w:rPr>
                <w:sz w:val="20"/>
                <w:szCs w:val="20"/>
                <w:color w:val="auto"/>
              </w:rPr>
            </w:pPr>
          </w:p>
        </w:tc>
        <w:tc>
          <w:tcPr>
            <w:tcW w:w="400" w:type="dxa"/>
            <w:vAlign w:val="bottom"/>
            <w:tcBorders>
              <w:bottom w:val="single" w:sz="8" w:color="auto"/>
              <w:right w:val="single" w:sz="8" w:color="auto"/>
            </w:tcBorders>
            <w:shd w:val="clear" w:color="auto" w:fill="DADADA"/>
          </w:tcPr>
          <w:p>
            <w:pPr>
              <w:spacing w:after="0"/>
              <w:rPr>
                <w:sz w:val="20"/>
                <w:szCs w:val="20"/>
                <w:color w:val="auto"/>
              </w:rPr>
            </w:pPr>
          </w:p>
        </w:tc>
        <w:tc>
          <w:tcPr>
            <w:tcW w:w="1540" w:type="dxa"/>
            <w:vAlign w:val="bottom"/>
            <w:tcBorders>
              <w:bottom w:val="single" w:sz="8" w:color="auto"/>
              <w:right w:val="single" w:sz="8" w:color="auto"/>
            </w:tcBorders>
            <w:shd w:val="clear" w:color="auto" w:fill="DADADA"/>
          </w:tcPr>
          <w:p>
            <w:pPr xmlns:w="http://schemas.openxmlformats.org/wordprocessingml/2006/main">
              <w:ind w:left="10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ώρα)</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4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0" w:type="dxa"/>
            <w:vAlign w:val="bottom"/>
            <w:tcBorders>
              <w:right w:val="single" w:sz="8" w:color="auto"/>
            </w:tcBorders>
          </w:tcPr>
          <w:p>
            <w:pPr>
              <w:spacing w:after="0"/>
              <w:rPr>
                <w:sz w:val="19"/>
                <w:szCs w:val="19"/>
                <w:color w:val="auto"/>
              </w:rPr>
            </w:pPr>
          </w:p>
        </w:tc>
        <w:tc>
          <w:tcPr>
            <w:tcW w:w="1540" w:type="dxa"/>
            <w:vAlign w:val="bottom"/>
            <w:tcBorders>
              <w:right w:val="single" w:sz="8" w:color="auto"/>
            </w:tcBorders>
          </w:tcPr>
          <w:p>
            <w:pPr>
              <w:spacing w:after="0"/>
              <w:rPr>
                <w:sz w:val="19"/>
                <w:szCs w:val="19"/>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100" w:type="dxa"/>
            <w:vAlign w:val="bottom"/>
          </w:tcPr>
          <w:p>
            <w:pPr>
              <w:spacing w:after="0"/>
              <w:rPr>
                <w:sz w:val="18"/>
                <w:szCs w:val="18"/>
                <w:color w:val="auto"/>
              </w:rPr>
            </w:pPr>
          </w:p>
        </w:tc>
        <w:tc>
          <w:tcPr>
            <w:tcW w:w="206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540" w:type="dxa"/>
            <w:vAlign w:val="bottom"/>
            <w:tcBorders>
              <w:right w:val="single" w:sz="8" w:color="auto"/>
            </w:tcBorders>
          </w:tcPr>
          <w:p>
            <w:pPr>
              <w:spacing w:after="0"/>
              <w:rPr>
                <w:sz w:val="18"/>
                <w:szCs w:val="18"/>
                <w:color w:val="auto"/>
              </w:rPr>
            </w:pPr>
          </w:p>
        </w:tc>
      </w:tr>
      <w:tr>
        <w:trPr>
          <w:trHeight w:val="208"/>
        </w:trPr>
        <w:tc>
          <w:tcPr>
            <w:tcW w:w="1560" w:type="dxa"/>
            <w:vAlign w:val="bottom"/>
            <w:tcBorders>
              <w:left w:val="single" w:sz="8" w:color="auto"/>
              <w:right w:val="single" w:sz="8" w:color="auto"/>
            </w:tcBorders>
          </w:tcPr>
          <w:p>
            <w:pPr xmlns:w="http://schemas.openxmlformats.org/wordprocessingml/2006/main">
              <w:ind w:left="12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100" w:type="dxa"/>
            <w:vAlign w:val="bottom"/>
          </w:tcPr>
          <w:p>
            <w:pPr>
              <w:spacing w:after="0"/>
              <w:rPr>
                <w:sz w:val="18"/>
                <w:szCs w:val="18"/>
                <w:color w:val="auto"/>
              </w:rPr>
            </w:pPr>
          </w:p>
        </w:tc>
        <w:tc>
          <w:tcPr>
            <w:tcW w:w="240" w:type="dxa"/>
            <w:vAlign w:val="bottom"/>
            <w:tcBorders>
              <w:bottom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1820" w:type="dxa"/>
            <w:vAlign w:val="bottom"/>
            <w:tcBorders>
              <w:right w:val="single" w:sz="8" w:color="auto"/>
            </w:tcBorders>
            <w:gridSpan w:val="3"/>
          </w:tcPr>
          <w:p>
            <w:pPr>
              <w:spacing w:after="0"/>
              <w:rPr>
                <w:sz w:val="18"/>
                <w:szCs w:val="18"/>
                <w:color w:val="auto"/>
              </w:rPr>
            </w:pPr>
          </w:p>
        </w:tc>
        <w:tc>
          <w:tcPr>
            <w:tcW w:w="1540" w:type="dxa"/>
            <w:vAlign w:val="bottom"/>
            <w:tcBorders>
              <w:right w:val="single" w:sz="8" w:color="auto"/>
            </w:tcBorders>
          </w:tcPr>
          <w:p>
            <w:pPr xmlns:w="http://schemas.openxmlformats.org/wordprocessingml/2006/main">
              <w:ind w:left="10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4"/>
          </w:tcPr>
          <w:p>
            <w:pPr>
              <w:spacing w:after="0" w:line="20" w:lineRule="exact"/>
              <w:rPr>
                <w:sz w:val="1"/>
                <w:szCs w:val="1"/>
                <w:color w:val="auto"/>
              </w:rPr>
            </w:pPr>
          </w:p>
        </w:tc>
        <w:tc>
          <w:tcPr>
            <w:tcW w:w="1540" w:type="dxa"/>
            <w:vAlign w:val="bottom"/>
            <w:tcBorders>
              <w:bottom w:val="single" w:sz="8" w:color="auto"/>
              <w:right w:val="single" w:sz="8" w:color="auto"/>
            </w:tcBorders>
          </w:tcPr>
          <w:p>
            <w:pPr>
              <w:spacing w:after="0" w:line="20" w:lineRule="exact"/>
              <w:rPr>
                <w:sz w:val="1"/>
                <w:szCs w:val="1"/>
                <w:color w:val="auto"/>
              </w:rPr>
            </w:pPr>
          </w:p>
        </w:tc>
      </w:tr>
      <w:tr>
        <w:trPr>
          <w:trHeight w:val="193"/>
        </w:trPr>
        <w:tc>
          <w:tcPr>
            <w:tcW w:w="1560" w:type="dxa"/>
            <w:vAlign w:val="bottom"/>
            <w:tcBorders>
              <w:left w:val="single" w:sz="8" w:color="auto"/>
              <w:right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60" w:type="dxa"/>
            <w:vAlign w:val="bottom"/>
            <w:tcBorders>
              <w:right w:val="single" w:sz="8" w:color="auto"/>
            </w:tcBorders>
            <w:gridSpan w:val="4"/>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540" w:type="dxa"/>
            <w:vAlign w:val="bottom"/>
            <w:tcBorders>
              <w:right w:val="single" w:sz="8" w:color="auto"/>
            </w:tcBorders>
          </w:tcPr>
          <w:p>
            <w:pPr>
              <w:spacing w:after="0"/>
              <w:rPr>
                <w:sz w:val="16"/>
                <w:szCs w:val="16"/>
                <w:color w:val="auto"/>
              </w:rPr>
            </w:pPr>
          </w:p>
        </w:tc>
      </w:tr>
      <w:tr>
        <w:trPr>
          <w:trHeight w:val="218"/>
        </w:trPr>
        <w:tc>
          <w:tcPr>
            <w:tcW w:w="1560" w:type="dxa"/>
            <w:vAlign w:val="bottom"/>
            <w:tcBorders>
              <w:left w:val="single" w:sz="8" w:color="auto"/>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6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540" w:type="dxa"/>
            <w:vAlign w:val="bottom"/>
            <w:tcBorders>
              <w:right w:val="single" w:sz="8" w:color="auto"/>
            </w:tcBorders>
          </w:tcPr>
          <w:p>
            <w:pPr xmlns:w="http://schemas.openxmlformats.org/wordprocessingml/2006/main">
              <w:ind w:left="10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8"/>
        </w:trPr>
        <w:tc>
          <w:tcPr>
            <w:tcW w:w="1560" w:type="dxa"/>
            <w:vAlign w:val="bottom"/>
            <w:tcBorders>
              <w:left w:val="single" w:sz="8" w:color="auto"/>
              <w:right w:val="single" w:sz="8" w:color="auto"/>
            </w:tcBorders>
          </w:tcPr>
          <w:p>
            <w:pPr xmlns:w="http://schemas.openxmlformats.org/wordprocessingml/2006/main">
              <w:ind w:left="12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100" w:type="dxa"/>
            <w:vAlign w:val="bottom"/>
          </w:tcPr>
          <w:p>
            <w:pPr>
              <w:spacing w:after="0"/>
              <w:rPr>
                <w:sz w:val="18"/>
                <w:szCs w:val="18"/>
                <w:color w:val="auto"/>
              </w:rPr>
            </w:pPr>
          </w:p>
        </w:tc>
        <w:tc>
          <w:tcPr>
            <w:tcW w:w="2060" w:type="dxa"/>
            <w:vAlign w:val="bottom"/>
            <w:tcBorders>
              <w:right w:val="single" w:sz="8" w:color="auto"/>
            </w:tcBorders>
            <w:gridSpan w:val="4"/>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540" w:type="dxa"/>
            <w:vAlign w:val="bottom"/>
            <w:tcBorders>
              <w:right w:val="single" w:sz="8" w:color="auto"/>
            </w:tcBorders>
          </w:tcPr>
          <w:p>
            <w:pPr xmlns:w="http://schemas.openxmlformats.org/wordprocessingml/2006/main">
              <w:ind w:left="10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0" w:type="dxa"/>
            <w:vAlign w:val="bottom"/>
            <w:tcBorders>
              <w:bottom w:val="single" w:sz="8" w:color="auto"/>
            </w:tcBorders>
            <w:gridSpan w:val="3"/>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bottom w:val="single" w:sz="8" w:color="auto"/>
              <w:right w:val="single" w:sz="8" w:color="auto"/>
            </w:tcBorders>
          </w:tcPr>
          <w:p>
            <w:pPr>
              <w:spacing w:after="0" w:line="20" w:lineRule="exact"/>
              <w:rPr>
                <w:sz w:val="1"/>
                <w:szCs w:val="1"/>
                <w:color w:val="auto"/>
              </w:rPr>
            </w:pPr>
          </w:p>
        </w:tc>
        <w:tc>
          <w:tcPr>
            <w:tcW w:w="1540" w:type="dxa"/>
            <w:vAlign w:val="bottom"/>
            <w:tcBorders>
              <w:bottom w:val="single" w:sz="8" w:color="auto"/>
              <w:right w:val="single" w:sz="8" w:color="auto"/>
            </w:tcBorders>
          </w:tcPr>
          <w:p>
            <w:pPr>
              <w:spacing w:after="0" w:line="20" w:lineRule="exact"/>
              <w:rPr>
                <w:sz w:val="1"/>
                <w:szCs w:val="1"/>
                <w:color w:val="auto"/>
              </w:rPr>
            </w:pPr>
          </w:p>
        </w:tc>
      </w:tr>
      <w:tr>
        <w:trPr>
          <w:trHeight w:val="275"/>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540" w:type="dxa"/>
            <w:vAlign w:val="bottom"/>
            <w:tcBorders>
              <w:bottom w:val="single" w:sz="8" w:color="auto"/>
              <w:right w:val="single" w:sz="8" w:color="auto"/>
            </w:tcBorders>
            <w:shd w:val="clear" w:color="auto" w:fill="DADADA"/>
          </w:tcPr>
          <w:p>
            <w:pPr>
              <w:spacing w:after="0"/>
              <w:rPr>
                <w:sz w:val="23"/>
                <w:szCs w:val="23"/>
                <w:color w:val="auto"/>
              </w:rPr>
            </w:pPr>
          </w:p>
        </w:tc>
      </w:tr>
      <w:tr>
        <w:trPr>
          <w:trHeight w:val="290"/>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100" w:type="dxa"/>
            <w:vAlign w:val="bottom"/>
            <w:tcBorders>
              <w:bottom w:val="single" w:sz="8" w:color="auto"/>
            </w:tcBorders>
          </w:tcPr>
          <w:p>
            <w:pPr>
              <w:spacing w:after="0"/>
              <w:rPr>
                <w:sz w:val="24"/>
                <w:szCs w:val="24"/>
                <w:color w:val="auto"/>
              </w:rPr>
            </w:pPr>
          </w:p>
        </w:tc>
        <w:tc>
          <w:tcPr>
            <w:tcW w:w="206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r>
    </w:tbl>
    <w:p>
      <w:pPr>
        <w:spacing w:after="0" w:line="99" w:lineRule="exact"/>
        <w:rPr>
          <w:sz w:val="20"/>
          <w:szCs w:val="20"/>
          <w:color w:val="auto"/>
        </w:rPr>
      </w:pPr>
    </w:p>
    <w:p>
      <w:pPr>
        <w:sectPr>
          <w:pgSz w:w="12240" w:h="15840" w:orient="portrait"/>
          <w:cols w:equalWidth="0" w:num="2">
            <w:col w:w="5440" w:space="280"/>
            <w:col w:w="5240"/>
          </w:cols>
          <w:pgMar w:left="720" w:top="774" w:right="560" w:bottom="405" w:gutter="0" w:footer="0" w:header="0"/>
          <w:type w:val="continuous"/>
        </w:sectPr>
      </w:pPr>
    </w:p>
    <w:p>
      <w:pPr xmlns:w="http://schemas.openxmlformats.org/wordprocessingml/2006/main">
        <w:jc w:val="both"/>
        <w:ind w:left="220"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επηρεάζουν σημαντικά τα αποτελέσματα.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 προμήθειες, αλλά μπορεί επίσης να περιλαμβάνει το περιθώριο κέρδους και το κόστος επιτοκίου.</w:t>
      </w:r>
      <w:r>
        <w:rPr xmlns:w="http://schemas.openxmlformats.org/wordprocessingml/2006/main">
          <w:rFonts w:ascii="Calibri" w:cs="Calibri" w:eastAsia="Calibri" w:hAnsi="Calibri"/>
          <w:sz w:val="22"/>
          <w:szCs w:val="22"/>
          <w:color w:val="auto"/>
        </w:rPr>
        <w:t xml:space="preserve"> Αν ένας επενδυτής ρευστοποιήσει μια θέση συμβολαίου μελλοντικής εκπλήρωσης επί εμπορευμάτων, μπορεί να υποστεί πρόσθετο κόστος.</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28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Οι επενδυτές έχουν την αποκλειστική ευθύνη να καθορίζουν αν και πότε θα πρέπει να κλείσουν μια θέση συμβολαίων μελλοντικής εκπλήρωσης επί βασικών εμπορευμάτων ή να διατηρήσουν μια θέση έως τη λήξη της.</w:t>
      </w:r>
      <w:r>
        <w:rPr xmlns:w="http://schemas.openxmlformats.org/wordprocessingml/2006/main">
          <w:rFonts w:ascii="Calibri" w:cs="Calibri" w:eastAsia="Calibri" w:hAnsi="Calibri"/>
          <w:sz w:val="22"/>
          <w:szCs w:val="22"/>
          <w:color w:val="auto"/>
        </w:rPr>
        <w:t xml:space="preserve"> Οι επενδυτές που κλείνουν μια θέση συμβολαίων μελλοντικής εκπλήρωσης επί εμπορευμάτων παραιτούνται από κάθε μεταγενέστερο κέρδος ή ζημία που σχετίζεται με τη θέση.</w:t>
      </w:r>
      <w:r>
        <w:rPr xmlns:w="http://schemas.openxmlformats.org/wordprocessingml/2006/main">
          <w:rFonts w:ascii="Calibri" w:cs="Calibri" w:eastAsia="Calibri" w:hAnsi="Calibri"/>
          <w:sz w:val="22"/>
          <w:szCs w:val="22"/>
          <w:color w:val="auto"/>
        </w:rPr>
        <w:t xml:space="preserve"> Όλα τα συμβόλαια μελλοντικής εκπλήρωσης επί βασικών εμπορευμάτων έχουν ημερομηνία λήξης, μετά την οποία η σύμβαση παύει να υφίσταται.</w:t>
      </w:r>
      <w:r>
        <w:rPr xmlns:w="http://schemas.openxmlformats.org/wordprocessingml/2006/main">
          <w:rFonts w:ascii="Calibri" w:cs="Calibri" w:eastAsia="Calibri" w:hAnsi="Calibri"/>
          <w:sz w:val="22"/>
          <w:szCs w:val="22"/>
          <w:color w:val="auto"/>
        </w:rPr>
        <w:t xml:space="preserve"> Ένας επενδυτής μπορεί να κλείσει μια ανοικτή θέση σε ένα συμβόλαιο μελλοντικής εκπλήρωσης επί βασικών εμπορευμάτων με τη σύναψη μιας συναλλαγής αντιστάθμισης πριν από τη λήξη της σύμβασης.</w:t>
      </w:r>
    </w:p>
    <w:p>
      <w:pPr>
        <w:spacing w:after="0" w:line="15"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στην NFA</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ή η CFTC</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4" w:lineRule="exact"/>
        <w:rPr>
          <w:sz w:val="20"/>
          <w:szCs w:val="20"/>
          <w:color w:val="auto"/>
        </w:rPr>
      </w:pP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Εθνική Ένωση Συμβολαίων Μελλοντικής Εκπλήρωσης</w:t>
        <w:tab xmlns:w="http://schemas.openxmlformats.org/wordprocessingml/2006/main"/>
      </w:r>
      <w:r>
        <w:rPr xmlns:w="http://schemas.openxmlformats.org/wordprocessingml/2006/main">
          <w:rFonts w:ascii="Calibri" w:cs="Calibri" w:eastAsia="Calibri" w:hAnsi="Calibri"/>
          <w:sz w:val="19"/>
          <w:szCs w:val="19"/>
          <w:color w:val="auto"/>
        </w:rPr>
        <w:t xml:space="preserve">ΗΠΑ</w:t>
      </w:r>
      <w:r>
        <w:rPr xmlns:w="http://schemas.openxmlformats.org/wordprocessingml/2006/main">
          <w:rFonts w:ascii="Calibri" w:cs="Calibri" w:eastAsia="Calibri" w:hAnsi="Calibri"/>
          <w:sz w:val="19"/>
          <w:szCs w:val="19"/>
          <w:color w:val="auto"/>
        </w:rPr>
        <w:t xml:space="preserve"> Επιτροπή διαπραγμάτευσης συμβολαίων μελλοντικής εκπλήρωσης επί εμπορευμάτων</w:t>
      </w: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tab xmlns:w="http://schemas.openxmlformats.org/wordprocessingml/2006/main"/>
      </w:r>
      <w:r>
        <w:rPr xmlns:w="http://schemas.openxmlformats.org/wordprocessingml/2006/main">
          <w:rFonts w:ascii="Calibri" w:cs="Calibri" w:eastAsia="Calibri" w:hAnsi="Calibri"/>
          <w:sz w:val="19"/>
          <w:szCs w:val="19"/>
          <w:color w:val="auto"/>
        </w:rPr>
        <w:t xml:space="preserve">Κέντρο Three Lafayette</w:t>
      </w:r>
    </w:p>
    <w:p>
      <w:pPr>
        <w:spacing w:after="0" w:line="1" w:lineRule="exact"/>
        <w:rPr>
          <w:sz w:val="20"/>
          <w:szCs w:val="20"/>
          <w:color w:val="auto"/>
        </w:rPr>
      </w:pP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Σικάγο, IL 60606-6615</w:t>
        <w:tab xmlns:w="http://schemas.openxmlformats.org/wordprocessingml/2006/main"/>
      </w:r>
      <w:r>
        <w:rPr xmlns:w="http://schemas.openxmlformats.org/wordprocessingml/2006/main">
          <w:rFonts w:ascii="Calibri" w:cs="Calibri" w:eastAsia="Calibri" w:hAnsi="Calibri"/>
          <w:sz w:val="19"/>
          <w:szCs w:val="19"/>
          <w:color w:val="auto"/>
        </w:rPr>
        <w:t xml:space="preserve">1155 21η οδός, NW</w:t>
      </w:r>
    </w:p>
    <w:p>
      <w:pPr>
        <w:spacing w:after="0" w:line="1" w:lineRule="exact"/>
        <w:rPr>
          <w:sz w:val="20"/>
          <w:szCs w:val="20"/>
          <w:color w:val="auto"/>
        </w:rPr>
      </w:pP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312-781-1300</w:t>
        <w:tab xmlns:w="http://schemas.openxmlformats.org/wordprocessingml/2006/main"/>
      </w:r>
      <w:r>
        <w:rPr xmlns:w="http://schemas.openxmlformats.org/wordprocessingml/2006/main">
          <w:rFonts w:ascii="Calibri" w:cs="Calibri" w:eastAsia="Calibri" w:hAnsi="Calibri"/>
          <w:sz w:val="20"/>
          <w:szCs w:val="20"/>
          <w:color w:val="auto"/>
        </w:rPr>
        <w:t xml:space="preserve">Ουάσινγκτον, DC 20581</w:t>
      </w:r>
    </w:p>
    <w:p>
      <w:pPr>
        <w:spacing w:after="0" w:line="1" w:lineRule="exact"/>
        <w:rPr>
          <w:sz w:val="20"/>
          <w:szCs w:val="20"/>
          <w:color w:val="auto"/>
        </w:rPr>
      </w:pP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312-781-1467</w:t>
        <w:tab xmlns:w="http://schemas.openxmlformats.org/wordprocessingml/2006/main"/>
      </w:r>
      <w:r>
        <w:rPr xmlns:w="http://schemas.openxmlformats.org/wordprocessingml/2006/main">
          <w:rFonts w:ascii="Calibri" w:cs="Calibri" w:eastAsia="Calibri" w:hAnsi="Calibri"/>
          <w:sz w:val="19"/>
          <w:szCs w:val="19"/>
          <w:color w:val="auto"/>
        </w:rPr>
        <w:t xml:space="preserve">Τηλέφωνο:</w:t>
      </w:r>
      <w:r>
        <w:rPr xmlns:w="http://schemas.openxmlformats.org/wordprocessingml/2006/main">
          <w:rFonts w:ascii="Calibri" w:cs="Calibri" w:eastAsia="Calibri" w:hAnsi="Calibri"/>
          <w:sz w:val="19"/>
          <w:szCs w:val="19"/>
          <w:color w:val="auto"/>
        </w:rPr>
        <w:t xml:space="preserve"> 866-366-2382 Φαξ:</w:t>
      </w:r>
      <w:r>
        <w:rPr xmlns:w="http://schemas.openxmlformats.org/wordprocessingml/2006/main">
          <w:rFonts w:ascii="Calibri" w:cs="Calibri" w:eastAsia="Calibri" w:hAnsi="Calibri"/>
          <w:sz w:val="19"/>
          <w:szCs w:val="19"/>
          <w:color w:val="auto"/>
        </w:rPr>
        <w:t xml:space="preserve"> 202-418-521</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96214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53.8pt,1.15pt" o:allowincell="f" strokecolor="#000000" strokeweight="0.4799pt"/>
            </w:pict>
          </mc:Fallback>
        </mc:AlternateContent>
      </w:r>
    </w:p>
    <w:p>
      <w:pPr>
        <w:sectPr>
          <w:pgSz w:w="12240" w:h="15840" w:orient="portrait"/>
          <w:cols w:equalWidth="0" w:num="1">
            <w:col w:w="10960"/>
          </w:cols>
          <w:pgMar w:left="720" w:top="774" w:right="560" w:bottom="405" w:gutter="0" w:footer="0" w:header="0"/>
          <w:type w:val="continuous"/>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960"/>
      </w:cols>
      <w:pgMar w:left="720" w:top="774" w:right="560" w:bottom="40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9B6A0BC"/>
    <w:multiLevelType w:val="hybridMultilevel"/>
    <w:lvl w:ilvl="0">
      <w:lvlJc w:val="left"/>
      <w:lvlText w:val="·"/>
      <w:numFmt w:val="bullet"/>
      <w:start w:val="1"/>
    </w:lvl>
  </w:abstractNum>
  <w:abstractNum w:abstractNumId="1">
    <w:nsid w:val="770463B8"/>
    <w:multiLevelType w:val="hybridMultilevel"/>
    <w:lvl w:ilvl="0">
      <w:lvlJc w:val="left"/>
      <w:lvlText w:val="·"/>
      <w:numFmt w:val="bullet"/>
      <w:start w:val="1"/>
    </w:lvl>
  </w:abstractNum>
  <w:abstractNum w:abstractNumId="2">
    <w:nsid w:val="5FBE472C"/>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2024-05-20T14:30:15Z</dcterms:created>
  <dcterms:modified xsi:type="dcterms:W3CDTF">2024-05-20T14:30:15Z</dcterms:modified>
</cp:coreProperties>
</file>