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5969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59690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Φυσική πιστότητα Bitcoin ETP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-304165</wp:posOffset>
            </wp:positionH>
            <wp:positionV relativeFrom="paragraph">
              <wp:posOffset>428625</wp:posOffset>
            </wp:positionV>
            <wp:extent cx="7560310" cy="8387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560310" cy="8387080"/>
                    </a:xfrm>
                    <a:prstGeom prst="rect">
                      <a:avLst/>
                    </a:prstGeom>
                    <a:noFill/>
                  </pic:spPr>
                </pic:pic>
              </a:graphicData>
            </a:graphic>
          </wp:anchor>
        </w:drawing>
      </w:r>
    </w:p>
    <w:p>
      <w:pPr>
        <w:spacing w:after="0" w:line="200" w:lineRule="exact"/>
        <w:rPr>
          <w:sz w:val="24"/>
          <w:szCs w:val="24"/>
          <w:color w:val="auto"/>
        </w:rPr>
      </w:pPr>
    </w:p>
    <w:p>
      <w:pPr>
        <w:spacing w:after="0" w:line="37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11760" cy="3613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111760" cy="361315"/>
                    </a:xfrm>
                    <a:prstGeom prst="rect">
                      <a:avLst/>
                    </a:prstGeom>
                    <a:noFill/>
                    <a:ln>
                      <a:noFill/>
                    </a:ln>
                  </pic:spPr>
                </pic:pic>
              </a:graphicData>
            </a:graphic>
          </wp:inline>
        </w:drawing>
      </w:r>
      <w:r>
        <w:rPr xmlns:w="http://schemas.openxmlformats.org/wordprocessingml/2006/main">
          <w:rFonts w:ascii="Arial" w:cs="Arial" w:eastAsia="Arial" w:hAnsi="Arial"/>
          <w:sz w:val="37"/>
          <w:szCs w:val="37"/>
          <w:b w:val="1"/>
          <w:bCs w:val="1"/>
          <w:color w:val="FFFFFF"/>
        </w:rPr>
        <w:t xml:space="preserve">Έγγραφο βασικών πληροφοριών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11760" cy="2000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1760" cy="200025"/>
                    </a:xfrm>
                    <a:prstGeom prst="rect">
                      <a:avLst/>
                    </a:prstGeom>
                    <a:noFill/>
                    <a:ln>
                      <a:noFill/>
                    </a:ln>
                  </pic:spPr>
                </pic:pic>
              </a:graphicData>
            </a:graphic>
          </wp:inline>
        </w:drawing>
      </w:r>
      <w:r>
        <w:rPr xmlns:w="http://schemas.openxmlformats.org/wordprocessingml/2006/main">
          <w:rFonts w:ascii="Arial" w:cs="Arial" w:eastAsia="Arial" w:hAnsi="Arial"/>
          <w:sz w:val="20"/>
          <w:szCs w:val="20"/>
          <w:b w:val="1"/>
          <w:bCs w:val="1"/>
          <w:color w:val="006193"/>
        </w:rPr>
        <w:t xml:space="preserve">Αντικείμενο</w:t>
      </w:r>
    </w:p>
    <w:p>
      <w:pPr>
        <w:spacing w:after="0" w:line="12" w:lineRule="exact"/>
        <w:rPr>
          <w:sz w:val="24"/>
          <w:szCs w:val="24"/>
          <w:color w:val="auto"/>
        </w:rPr>
      </w:pPr>
    </w:p>
    <w:p>
      <w:pPr xmlns:w="http://schemas.openxmlformats.org/wordprocessingml/2006/main">
        <w:jc w:val="both"/>
        <w:ind w:left="180"/>
        <w:spacing w:after="0" w:line="295" w:lineRule="auto"/>
        <w:rPr>
          <w:sz w:val="20"/>
          <w:szCs w:val="20"/>
          <w:color w:val="auto"/>
        </w:rPr>
      </w:pPr>
      <w:r>
        <w:rPr xmlns:w="http://schemas.openxmlformats.org/wordprocessingml/2006/main">
          <w:rFonts w:ascii="Arial" w:cs="Arial" w:eastAsia="Arial" w:hAnsi="Arial"/>
          <w:sz w:val="16"/>
          <w:szCs w:val="16"/>
          <w:color w:val="414956"/>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color w:val="414956"/>
        </w:rPr>
        <w:t xml:space="preserve"> Δεν είναι υλικό μάρκετινγκ.</w:t>
      </w:r>
      <w:r>
        <w:rPr xmlns:w="http://schemas.openxmlformats.org/wordprocessingml/2006/main">
          <w:rFonts w:ascii="Arial" w:cs="Arial" w:eastAsia="Arial" w:hAnsi="Arial"/>
          <w:sz w:val="16"/>
          <w:szCs w:val="16"/>
          <w:color w:val="414956"/>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145"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Προϊόν</w:t>
      </w:r>
    </w:p>
    <w:p>
      <w:pPr>
        <w:spacing w:after="0" w:line="34"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Φυσική πιστότητα Bitcoin ETP</w:t>
      </w:r>
    </w:p>
    <w:p>
      <w:pPr>
        <w:sectPr>
          <w:pgSz w:w="11900" w:h="16838" w:orient="portrait"/>
          <w:cols w:equalWidth="0" w:num="1">
            <w:col w:w="10660"/>
          </w:cols>
          <w:pgMar w:left="480" w:top="80" w:right="766" w:bottom="0" w:gutter="0" w:footer="0" w:header="0"/>
        </w:sectPr>
      </w:pPr>
    </w:p>
    <w:p>
      <w:pPr>
        <w:spacing w:after="0" w:line="3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color w:val="414956"/>
        </w:rPr>
        <w:t xml:space="preserve">Fidelity Exchange Trading Products GmbH</w:t>
      </w:r>
    </w:p>
    <w:p>
      <w:pPr xmlns:w="http://schemas.openxmlformats.org/wordprocessingml/2006/main">
        <w:ind w:left="180"/>
        <w:spacing w:after="0" w:line="236" w:lineRule="auto"/>
        <w:rPr>
          <w:sz w:val="20"/>
          <w:szCs w:val="20"/>
          <w:color w:val="auto"/>
        </w:rPr>
      </w:pPr>
      <w:r>
        <w:rPr xmlns:w="http://schemas.openxmlformats.org/wordprocessingml/2006/main">
          <w:rFonts w:ascii="Arial" w:cs="Arial" w:eastAsia="Arial" w:hAnsi="Arial"/>
          <w:sz w:val="18"/>
          <w:szCs w:val="18"/>
          <w:b w:val="1"/>
          <w:bCs w:val="1"/>
          <w:color w:val="414956"/>
        </w:rPr>
        <w:t xml:space="preserve">ISIN:</w:t>
      </w:r>
      <w:r>
        <w:rPr xmlns:w="http://schemas.openxmlformats.org/wordprocessingml/2006/main">
          <w:rFonts w:ascii="Arial" w:cs="Arial" w:eastAsia="Arial" w:hAnsi="Arial"/>
          <w:sz w:val="18"/>
          <w:szCs w:val="18"/>
          <w:color w:val="414956"/>
        </w:rPr>
        <w:t xml:space="preserve"> 2434891219 XS</w:t>
      </w: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414956"/>
        </w:rPr>
        <w:t xml:space="preserve">https://www.fidelityinternational.com/fidelity-physical-bitcoin-etp-legal-</w:t>
      </w:r>
    </w:p>
    <w:p>
      <w:pPr>
        <w:spacing w:after="0" w:line="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color w:val="414956"/>
        </w:rPr>
        <w:t xml:space="preserve">τεκμηρίωση/</w:t>
      </w:r>
    </w:p>
    <w:p>
      <w:pPr xmlns:w="http://schemas.openxmlformats.org/wordprocessingml/2006/main">
        <w:ind w:left="18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Καλέστε το +49 800 414 177 για περισσότερες πληροφορίες.</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Arial" w:cs="Arial" w:eastAsia="Arial" w:hAnsi="Arial"/>
          <w:sz w:val="18"/>
          <w:szCs w:val="18"/>
          <w:color w:val="414956"/>
        </w:rPr>
        <w:t xml:space="preserve">Η Bundesanstalt für Finanzdienstleistungsaufsicht (BaFin) είναι υπεύθυνη για την εποπτεία της Fidelity Exchange Trading Products GmbH σε σχέση με το παρόν έγγραφο βασικών πληροφοριών.</w:t>
      </w:r>
      <w:r>
        <w:rPr xmlns:w="http://schemas.openxmlformats.org/wordprocessingml/2006/main">
          <w:rFonts w:ascii="Arial" w:cs="Arial" w:eastAsia="Arial" w:hAnsi="Arial"/>
          <w:sz w:val="18"/>
          <w:szCs w:val="18"/>
          <w:color w:val="414956"/>
        </w:rPr>
        <w:t xml:space="preserve"> Το παρόν PRIIP έχει εγκριθεί στη Γερμανία.</w:t>
      </w:r>
    </w:p>
    <w:p>
      <w:pPr>
        <w:spacing w:after="0" w:line="1" w:lineRule="exact"/>
        <w:rPr>
          <w:sz w:val="24"/>
          <w:szCs w:val="24"/>
          <w:color w:val="auto"/>
        </w:rPr>
      </w:pPr>
    </w:p>
    <w:p>
      <w:pPr xmlns:w="http://schemas.openxmlformats.org/wordprocessingml/2006/main">
        <w:jc w:val="both"/>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Η Fidelity Exchange Trading Products GmbH έχει λάβει άδεια στη Γερμανία και τελεί υπό τη ρύθμιση της Bundesanstalt für Finanzdienstleistungsaufsicht (BaFin).</w:t>
      </w:r>
    </w:p>
    <w:p>
      <w:pPr xmlns:w="http://schemas.openxmlformats.org/wordprocessingml/2006/main">
        <w:spacing w:after="0" w:line="231"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Ημερομηνία δημοσίευσης:</w:t>
      </w:r>
      <w:r>
        <w:rPr xmlns:w="http://schemas.openxmlformats.org/wordprocessingml/2006/main">
          <w:rFonts w:ascii="Arial" w:cs="Arial" w:eastAsia="Arial" w:hAnsi="Arial"/>
          <w:sz w:val="18"/>
          <w:szCs w:val="18"/>
          <w:color w:val="414956"/>
        </w:rPr>
        <w:t xml:space="preserve"> 15/06/2023</w:t>
      </w:r>
    </w:p>
    <w:p>
      <w:pPr>
        <w:spacing w:after="0" w:line="77" w:lineRule="exact"/>
        <w:rPr>
          <w:sz w:val="24"/>
          <w:szCs w:val="24"/>
          <w:color w:val="auto"/>
        </w:rPr>
      </w:pPr>
    </w:p>
    <w:p>
      <w:pPr>
        <w:sectPr>
          <w:pgSz w:w="11900" w:h="16838" w:orient="portrait"/>
          <w:cols w:equalWidth="0" w:num="2">
            <w:col w:w="5280" w:space="360"/>
            <w:col w:w="5020"/>
          </w:cols>
          <w:pgMar w:left="480" w:top="80" w:right="766" w:bottom="0" w:gutter="0" w:footer="0" w:header="0"/>
          <w:type w:val="continuous"/>
        </w:sect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5"/>
          <w:szCs w:val="15"/>
          <w:b w:val="1"/>
          <w:bCs w:val="1"/>
          <w:color w:val="414956"/>
        </w:rPr>
        <w:t xml:space="preserve">Πρόκειται να αγοράσετε ένα προϊόν που δεν είναι απλό και μπορεί να είναι δύσκολο να κατανοηθεί.</w:t>
      </w:r>
    </w:p>
    <w:p>
      <w:pPr>
        <w:sectPr>
          <w:pgSz w:w="11900" w:h="16838" w:orient="portrait"/>
          <w:cols w:equalWidth="0" w:num="1">
            <w:col w:w="10660"/>
          </w:cols>
          <w:pgMar w:left="480" w:top="80" w:right="766" w:bottom="0" w:gutter="0" w:footer="0" w:header="0"/>
          <w:type w:val="continuous"/>
        </w:sectPr>
      </w:pPr>
    </w:p>
    <w:p>
      <w:pPr>
        <w:spacing w:after="0" w:line="159"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Τι είναι αυτό το προϊόν;</w:t>
      </w:r>
    </w:p>
    <w:p>
      <w:pPr>
        <w:spacing w:after="0" w:line="18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Τύπος</w:t>
      </w:r>
    </w:p>
    <w:p>
      <w:pPr>
        <w:spacing w:after="0" w:line="46" w:lineRule="exact"/>
        <w:rPr>
          <w:sz w:val="24"/>
          <w:szCs w:val="24"/>
          <w:color w:val="auto"/>
        </w:rPr>
      </w:pPr>
    </w:p>
    <w:p>
      <w:pPr xmlns:w="http://schemas.openxmlformats.org/wordprocessingml/2006/main">
        <w:jc w:val="both"/>
        <w:ind w:left="180" w:right="40"/>
        <w:spacing w:after="0" w:line="234" w:lineRule="auto"/>
        <w:rPr>
          <w:sz w:val="20"/>
          <w:szCs w:val="20"/>
          <w:color w:val="auto"/>
        </w:rPr>
      </w:pPr>
      <w:r>
        <w:rPr xmlns:w="http://schemas.openxmlformats.org/wordprocessingml/2006/main">
          <w:rFonts w:ascii="Arial" w:cs="Arial" w:eastAsia="Arial" w:hAnsi="Arial"/>
          <w:sz w:val="18"/>
          <w:szCs w:val="18"/>
          <w:color w:val="414956"/>
        </w:rPr>
        <w:t xml:space="preserve">Αυτό το προϊόν είναι ένα χρεωστικό τίτλο πλήρως εξασφαλισμένο με Bitcoins που τηρούνται σε ένα πορτοφόλι αποθετηρίου για φύλαξη.</w:t>
      </w:r>
      <w:r>
        <w:rPr xmlns:w="http://schemas.openxmlformats.org/wordprocessingml/2006/main">
          <w:rFonts w:ascii="Arial" w:cs="Arial" w:eastAsia="Arial" w:hAnsi="Arial"/>
          <w:sz w:val="18"/>
          <w:szCs w:val="18"/>
          <w:color w:val="414956"/>
        </w:rPr>
        <w:t xml:space="preserve"> Το ομόλογο εκδίδεται στον κομιστή, δεν έχει τόκο και δεν έχει καθορισμένη ημερομηνία λήξης.</w:t>
      </w:r>
      <w:r>
        <w:rPr xmlns:w="http://schemas.openxmlformats.org/wordprocessingml/2006/main">
          <w:rFonts w:ascii="Arial" w:cs="Arial" w:eastAsia="Arial" w:hAnsi="Arial"/>
          <w:sz w:val="18"/>
          <w:szCs w:val="18"/>
          <w:color w:val="414956"/>
        </w:rPr>
        <w:t xml:space="preserve"> Το προϊόν διέπεται από το γερμανικό δίκαιο.</w:t>
      </w:r>
    </w:p>
    <w:p>
      <w:pPr>
        <w:spacing w:after="0" w:line="17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Διάρκεια</w:t>
      </w:r>
    </w:p>
    <w:p>
      <w:pPr>
        <w:spacing w:after="0" w:line="46" w:lineRule="exact"/>
        <w:rPr>
          <w:sz w:val="24"/>
          <w:szCs w:val="24"/>
          <w:color w:val="auto"/>
        </w:rPr>
      </w:pPr>
    </w:p>
    <w:p>
      <w:pPr xmlns:w="http://schemas.openxmlformats.org/wordprocessingml/2006/main">
        <w:jc w:val="both"/>
        <w:ind w:left="180" w:right="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Αυτό το προϊόν δεν έχει καθορισμένη διάρκεια, εξαρτάται από την άσκηση από τον επενδυτή ή τον τερματισμό από τον εκδότη.</w:t>
      </w:r>
    </w:p>
    <w:p>
      <w:pPr>
        <w:spacing w:after="0" w:line="17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Στόχοι</w:t>
      </w:r>
    </w:p>
    <w:p>
      <w:pPr>
        <w:spacing w:after="0" w:line="46" w:lineRule="exact"/>
        <w:rPr>
          <w:sz w:val="24"/>
          <w:szCs w:val="24"/>
          <w:color w:val="auto"/>
        </w:rPr>
      </w:pPr>
    </w:p>
    <w:p>
      <w:pPr xmlns:w="http://schemas.openxmlformats.org/wordprocessingml/2006/main">
        <w:jc w:val="both"/>
        <w:ind w:left="180"/>
        <w:spacing w:after="0" w:line="260" w:lineRule="auto"/>
        <w:rPr>
          <w:sz w:val="20"/>
          <w:szCs w:val="20"/>
          <w:color w:val="auto"/>
        </w:rPr>
      </w:pPr>
      <w:r>
        <w:rPr xmlns:w="http://schemas.openxmlformats.org/wordprocessingml/2006/main">
          <w:rFonts w:ascii="Arial" w:cs="Arial" w:eastAsia="Arial" w:hAnsi="Arial"/>
          <w:sz w:val="16"/>
          <w:szCs w:val="16"/>
          <w:color w:val="414956"/>
        </w:rPr>
        <w:t xml:space="preserve">Το Fidelity Physical Bitcoin ETP είναι ένα διαπραγματεύσιμο στο χρηματιστήριο προϊόν με σκοπό να δώσει στους επενδυτές έκθεση στο cryptocurrency Bitcoin και η απόδοσή του συνδέεται άμεσα με την τιμή του Bitcoin.Το προϊόν υποστηρίζεται κατά 100% από τα Bitcoin που είναι αποθηκευμένα και τυχόν Bitcoins που έχει λάβει ο Εκδότης για την εγγραφή ενός Εξουσιοδοτημένου Συμμετέχοντα («AP») μεταφέρονται ως ασφάλεια σε ένα πορτοφόλι κατάθεσης («Deposetary Wallet»), το οποίο λειτουργεί από την Fidelity Digital Asset Services, LLC.</w:t>
      </w:r>
      <w:r>
        <w:rPr xmlns:w="http://schemas.openxmlformats.org/wordprocessingml/2006/main">
          <w:rFonts w:ascii="Arial" w:cs="Arial" w:eastAsia="Arial" w:hAnsi="Arial"/>
          <w:sz w:val="16"/>
          <w:szCs w:val="16"/>
          <w:color w:val="414956"/>
        </w:rPr>
        <w:t xml:space="preserve"> The Law Debenture Trust Corporation p.l.c.</w:t>
      </w:r>
      <w:r>
        <w:rPr xmlns:w="http://schemas.openxmlformats.org/wordprocessingml/2006/main">
          <w:rFonts w:ascii="Arial" w:cs="Arial" w:eastAsia="Arial" w:hAnsi="Arial"/>
          <w:sz w:val="16"/>
          <w:szCs w:val="16"/>
          <w:color w:val="414956"/>
        </w:rPr>
        <w:t xml:space="preserve"> έχει διοριστεί ως καταπιστευματοδόχος ασφαλείας για να κατέχει το δικαίωμα ασφαλείας στο Bitcoin που κατατίθεται ως εξασφάλιση προς όφελος των επενδυτών.Κάθε μονάδα αντιστοιχεί σε ένα δικαίωμα («Δικαίωμα Cryptocurrency") 0.0001 Bitcoin.</w:t>
      </w:r>
      <w:r>
        <w:rPr xmlns:w="http://schemas.openxmlformats.org/wordprocessingml/2006/main">
          <w:rFonts w:ascii="Arial" w:cs="Arial" w:eastAsia="Arial" w:hAnsi="Arial"/>
          <w:sz w:val="16"/>
          <w:szCs w:val="16"/>
          <w:color w:val="414956"/>
        </w:rPr>
        <w:t xml:space="preserve"> Αυτό το δικαίωμα Cryptocurrency μειώνεται κατά 0,75% ετησίως, υπολογίζεται σε καθημερινή βάση από το δικαίωμα σε ολόκληρη την περίοδο διακράτησης.Οι επενδυτές μπορούν να αγοράσουν αυτό το προϊόν μέσω APs ή απευθείας στη δευτερογενή αγορά.</w:t>
      </w:r>
      <w:r>
        <w:rPr xmlns:w="http://schemas.openxmlformats.org/wordprocessingml/2006/main">
          <w:rFonts w:ascii="Arial" w:cs="Arial" w:eastAsia="Arial" w:hAnsi="Arial"/>
          <w:sz w:val="16"/>
          <w:szCs w:val="16"/>
          <w:color w:val="414956"/>
        </w:rPr>
        <w:t xml:space="preserve"> Οι αγορές της δευτερογενούς αγοράς πραγματοποιούνται γενικά σε σταθερό νόμισμα.</w:t>
      </w:r>
      <w:r>
        <w:rPr xmlns:w="http://schemas.openxmlformats.org/wordprocessingml/2006/main">
          <w:rFonts w:ascii="Arial" w:cs="Arial" w:eastAsia="Arial" w:hAnsi="Arial"/>
          <w:sz w:val="16"/>
          <w:szCs w:val="16"/>
          <w:color w:val="414956"/>
        </w:rPr>
        <w:t xml:space="preserve"> Οι αγορές μέσω ενός AP μπορούν να γίνουν σε σταθερό νόμισμα ή οποιοδήποτε άλλο είδος ανταλλάγματος γίνεται αποδεκτό από το αντίστοιχο AP.Σε περίπτωση ορισμένων γεγονότων, ο Εκδότης μπορεί να τερματίσει και να εξαργυρώσει το προϊόν πρόωρα σε Bitcoins ή, αν ένας επενδυτής εμποδίζεται να λάβει ή να αποδεχθεί Bitcoins για νομικούς ή κανονιστικούς λόγους, σε ευρώ.</w:t>
      </w:r>
      <w:r>
        <w:rPr xmlns:w="http://schemas.openxmlformats.org/wordprocessingml/2006/main">
          <w:rFonts w:ascii="Arial" w:cs="Arial" w:eastAsia="Arial" w:hAnsi="Arial"/>
          <w:sz w:val="16"/>
          <w:szCs w:val="16"/>
          <w:color w:val="414956"/>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Arial" w:cs="Arial" w:eastAsia="Arial" w:hAnsi="Arial"/>
          <w:sz w:val="16"/>
          <w:szCs w:val="16"/>
          <w:color w:val="414956"/>
        </w:rPr>
        <w:t xml:space="preserve"> Οι επενδυτές πρέπει να γνωρίζουν ότι οποιαδήποτε απόδοση λαμβάνει ο επενδυτής σε περίπτωση τέτοιας πρόωρης εξόφλησης μπορεί να διαφέρει από μια εξόφληση που γίνεται κατά την κρίση του επενδυτή (όπως περιγράφεται παρακάτω) και μπορεί να είναι σημαντικά μικρότερη από το ποσό που επένδυσε ο επενδυτής κατά την αγορά, συμπεριλαμβανομένης της πιθανότητας συνολικής ζημίας.</w:t>
      </w:r>
      <w:r>
        <w:rPr xmlns:w="http://schemas.openxmlformats.org/wordprocessingml/2006/main">
          <w:rFonts w:ascii="Arial" w:cs="Arial" w:eastAsia="Arial" w:hAnsi="Arial"/>
          <w:sz w:val="16"/>
          <w:szCs w:val="16"/>
          <w:color w:val="414956"/>
        </w:rPr>
        <w:t xml:space="preserve"> Επιπλέον, οι επενδυτές αναλαμβάνουν τον κίνδυνο ότι η καταγγελία από τον εκδότη μπορεί να συμβεί σε μια εποχή που είναι δυσμενής για τους ίδιους και ότι μπορεί να είναι σε θέση να επανεπενδύσουν το τερματισθέν ποσό μόνο με χειρότερους όρους.Εκτός από την πώληση του προϊόντος στη δευτερογενή αγορά, η</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60" w:lineRule="exact"/>
        <w:rPr>
          <w:sz w:val="24"/>
          <w:szCs w:val="24"/>
          <w:color w:val="auto"/>
        </w:rPr>
      </w:pPr>
    </w:p>
    <w:p>
      <w:pPr xmlns:w="http://schemas.openxmlformats.org/wordprocessingml/2006/main">
        <w:spacing w:after="0" w:line="231" w:lineRule="auto"/>
        <w:rPr>
          <w:sz w:val="20"/>
          <w:szCs w:val="20"/>
          <w:color w:val="auto"/>
        </w:rPr>
      </w:pPr>
      <w:r>
        <w:rPr xmlns:w="http://schemas.openxmlformats.org/wordprocessingml/2006/main">
          <w:rFonts w:ascii="Arial" w:cs="Arial" w:eastAsia="Arial" w:hAnsi="Arial"/>
          <w:sz w:val="18"/>
          <w:szCs w:val="18"/>
          <w:color w:val="414956"/>
        </w:rPr>
        <w:t xml:space="preserve">Το προϊόν μπορεί επίσης να τερματιστεί και να εξαργυρωθεί εν όλω ή εν μέρει, με τον Εκδότη ή ένα AP ανά πάσα στιγμή και υπό συγκεκριμένους όρους και προϋποθέσεις.</w:t>
      </w:r>
      <w:r>
        <w:rPr xmlns:w="http://schemas.openxmlformats.org/wordprocessingml/2006/main">
          <w:rFonts w:ascii="Arial" w:cs="Arial" w:eastAsia="Arial" w:hAnsi="Arial"/>
          <w:sz w:val="18"/>
          <w:szCs w:val="18"/>
          <w:color w:val="414956"/>
        </w:rPr>
        <w:t xml:space="preserve"> Η απαίτηση του επενδυτή (ποσό πληρωμής) αντιστοιχεί στο δικαίωμα Cryptocurrency κατά την ημερομηνία άσκησης του δικαιώματος εξόφλησης του προϊόντος μείον το κόστος άσκησης, όπως ορίζεται περαιτέρω παρακάτω.</w:t>
      </w:r>
      <w:r>
        <w:rPr xmlns:w="http://schemas.openxmlformats.org/wordprocessingml/2006/main">
          <w:rFonts w:ascii="Arial" w:cs="Arial" w:eastAsia="Arial" w:hAnsi="Arial"/>
          <w:sz w:val="18"/>
          <w:szCs w:val="18"/>
          <w:color w:val="414956"/>
        </w:rPr>
        <w:t xml:space="preserve"> Ο εκδότης θα μεταβιβάσει αυτήν την αξίωση σε ψηφιακό πορτοφόλι που θα καθοριστεί από τον επενδυτή σε μορφή άσκησης που παρέχεται από τον εκδότη.</w:t>
      </w:r>
      <w:r>
        <w:rPr xmlns:w="http://schemas.openxmlformats.org/wordprocessingml/2006/main">
          <w:rFonts w:ascii="Arial" w:cs="Arial" w:eastAsia="Arial" w:hAnsi="Arial"/>
          <w:sz w:val="18"/>
          <w:szCs w:val="18"/>
          <w:color w:val="414956"/>
        </w:rPr>
        <w:t xml:space="preserve"> Αν, για νομικούς ή κανονιστικούς λόγους, ένας επενδυτής εμποδίζεται να λάβει ή να αποδεχθεί Bitcoins, ο επενδυτής μπορεί να ζητήσει εξαγορά σε ευρώ ως εναλλακτική λύση αντί της εξαγοράς σε Bitcoins.</w:t>
      </w:r>
      <w:r>
        <w:rPr xmlns:w="http://schemas.openxmlformats.org/wordprocessingml/2006/main">
          <w:rFonts w:ascii="Arial" w:cs="Arial" w:eastAsia="Arial" w:hAnsi="Arial"/>
          <w:sz w:val="18"/>
          <w:szCs w:val="18"/>
          <w:color w:val="414956"/>
        </w:rPr>
        <w:t xml:space="preserve"> Ο επενδυτής θα λάβει ένα χρηματικό ποσό σε ευρώ ίσο με το ποσό που λαμβάνεται από την πώληση του υποκείμενου Bitcoin.</w:t>
      </w:r>
      <w:r>
        <w:rPr xmlns:w="http://schemas.openxmlformats.org/wordprocessingml/2006/main">
          <w:rFonts w:ascii="Arial" w:cs="Arial" w:eastAsia="Arial" w:hAnsi="Arial"/>
          <w:sz w:val="18"/>
          <w:szCs w:val="18"/>
          <w:color w:val="414956"/>
        </w:rPr>
        <w:t xml:space="preserve"> </w:t>
      </w:r>
      <w:r>
        <w:rPr xmlns:w="http://schemas.openxmlformats.org/wordprocessingml/2006/main">
          <w:rFonts w:ascii="Arial" w:cs="Arial" w:eastAsia="Arial" w:hAnsi="Arial"/>
          <w:sz w:val="18"/>
          <w:szCs w:val="18"/>
          <w:b w:val="1"/>
          <w:bCs w:val="1"/>
          <w:color w:val="414956"/>
        </w:rPr>
        <w:t xml:space="preserve">Υποκείμενο:</w:t>
      </w:r>
      <w:r>
        <w:rPr xmlns:w="http://schemas.openxmlformats.org/wordprocessingml/2006/main">
          <w:rFonts w:ascii="Arial" w:cs="Arial" w:eastAsia="Arial" w:hAnsi="Arial"/>
          <w:sz w:val="18"/>
          <w:szCs w:val="18"/>
          <w:color w:val="414956"/>
        </w:rPr>
        <w:t xml:space="preserve"> Bitcoin (XBT).</w:t>
      </w:r>
    </w:p>
    <w:p>
      <w:pPr xmlns:w="http://schemas.openxmlformats.org/wordprocessingml/2006/main">
        <w:spacing w:after="0" w:line="238"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Νόμισμα προϊόντος:</w:t>
      </w:r>
      <w:r>
        <w:rPr xmlns:w="http://schemas.openxmlformats.org/wordprocessingml/2006/main">
          <w:rFonts w:ascii="Arial" w:cs="Arial" w:eastAsia="Arial" w:hAnsi="Arial"/>
          <w:sz w:val="18"/>
          <w:szCs w:val="18"/>
          <w:color w:val="414956"/>
        </w:rPr>
        <w:t xml:space="preserve"> ΕΥΡΩ.</w:t>
      </w:r>
    </w:p>
    <w:p>
      <w:pPr xmlns:w="http://schemas.openxmlformats.org/wordprocessingml/2006/main">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Ημερομηνία έκδοσης:</w:t>
      </w:r>
      <w:r>
        <w:rPr xmlns:w="http://schemas.openxmlformats.org/wordprocessingml/2006/main">
          <w:rFonts w:ascii="Arial" w:cs="Arial" w:eastAsia="Arial" w:hAnsi="Arial"/>
          <w:sz w:val="18"/>
          <w:szCs w:val="18"/>
          <w:color w:val="414956"/>
        </w:rPr>
        <w:t xml:space="preserve"> 26 Ιανουαρίου 2023.</w:t>
      </w:r>
    </w:p>
    <w:p>
      <w:pPr>
        <w:spacing w:after="0" w:line="1" w:lineRule="exact"/>
        <w:rPr>
          <w:sz w:val="24"/>
          <w:szCs w:val="24"/>
          <w:color w:val="auto"/>
        </w:rPr>
      </w:pPr>
    </w:p>
    <w:p>
      <w:pPr xmlns:w="http://schemas.openxmlformats.org/wordprocessingml/2006/main">
        <w:ind w:right="1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Τόπος διαπραγμάτευσης:</w:t>
      </w:r>
      <w:r>
        <w:rPr xmlns:w="http://schemas.openxmlformats.org/wordprocessingml/2006/main">
          <w:rFonts w:ascii="Arial" w:cs="Arial" w:eastAsia="Arial" w:hAnsi="Arial"/>
          <w:sz w:val="18"/>
          <w:szCs w:val="18"/>
          <w:color w:val="414956"/>
        </w:rPr>
        <w:t xml:space="preserve"> Deutsche Börse Xetra (χρηματιστήριο της Φραγκφούρτης) και κατά καιρούς πρόσθετα χρηματιστήρια.</w:t>
      </w:r>
      <w:r>
        <w:rPr xmlns:w="http://schemas.openxmlformats.org/wordprocessingml/2006/main">
          <w:rFonts w:ascii="Arial" w:cs="Arial" w:eastAsia="Arial" w:hAnsi="Arial"/>
          <w:sz w:val="18"/>
          <w:szCs w:val="18"/>
          <w:b w:val="1"/>
          <w:bCs w:val="1"/>
          <w:color w:val="414956"/>
        </w:rPr>
        <w:t xml:space="preserve"> Δικαίωμα Cryptocurrency ανά μονάδα:</w:t>
      </w:r>
      <w:r>
        <w:rPr xmlns:w="http://schemas.openxmlformats.org/wordprocessingml/2006/main">
          <w:rFonts w:ascii="Arial" w:cs="Arial" w:eastAsia="Arial" w:hAnsi="Arial"/>
          <w:sz w:val="18"/>
          <w:szCs w:val="18"/>
          <w:color w:val="414956"/>
        </w:rPr>
        <w:t xml:space="preserve"> Αρχικά 0.0001 Bitcoin, μειώνεται με την πάροδο του χρόνου από ένα ετήσιο τέλος 0,75%.</w:t>
      </w:r>
    </w:p>
    <w:p>
      <w:pPr>
        <w:spacing w:after="0" w:line="1" w:lineRule="exact"/>
        <w:rPr>
          <w:sz w:val="24"/>
          <w:szCs w:val="24"/>
          <w:color w:val="auto"/>
        </w:rPr>
      </w:pPr>
    </w:p>
    <w:p>
      <w:pPr xmlns:w="http://schemas.openxmlformats.org/wordprocessingml/2006/main">
        <w:ind w:right="6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Δικαιώματα του εκδότη:</w:t>
      </w:r>
      <w:r>
        <w:rPr xmlns:w="http://schemas.openxmlformats.org/wordprocessingml/2006/main">
          <w:rFonts w:ascii="Arial" w:cs="Arial" w:eastAsia="Arial" w:hAnsi="Arial"/>
          <w:sz w:val="18"/>
          <w:szCs w:val="18"/>
          <w:color w:val="414956"/>
        </w:rPr>
        <w:t xml:space="preserve"> Ο Εκδότης μπορεί να κινήσει τη διαδικασία τερματισμού και εξαργύρωσης αν προκύψουν ορισμένα γεγονότα, όπως αναφέρεται στους όρους και τις προϋποθέσεις του προϊόντος.</w:t>
      </w:r>
    </w:p>
    <w:p>
      <w:pPr>
        <w:spacing w:after="0" w:line="1" w:lineRule="exact"/>
        <w:rPr>
          <w:sz w:val="24"/>
          <w:szCs w:val="24"/>
          <w:color w:val="auto"/>
        </w:rPr>
      </w:pPr>
    </w:p>
    <w:p>
      <w:pPr xmlns:w="http://schemas.openxmlformats.org/wordprocessingml/2006/main">
        <w:ind w:right="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Δικαιώματα των επενδυτών:</w:t>
      </w:r>
      <w:r>
        <w:rPr xmlns:w="http://schemas.openxmlformats.org/wordprocessingml/2006/main">
          <w:rFonts w:ascii="Arial" w:cs="Arial" w:eastAsia="Arial" w:hAnsi="Arial"/>
          <w:sz w:val="18"/>
          <w:szCs w:val="18"/>
          <w:color w:val="414956"/>
        </w:rPr>
        <w:t xml:space="preserve"> Οι επενδυτές μπορούν να τερματίσουν και να εξαργυρώσουν το προϊόν για Bitcoins ανά πάσα στιγμή ή, αν μια πληρωμή σε Bitcoins δεν είναι δυνατή για νομικούς ή κανονιστικούς λόγους, την ισοδύναμη αξία σε ευρώ (η διαδικασία αποτίμησης περιγράφεται στους όρους και τις προϋποθέσεις του προϊόντος).</w:t>
      </w:r>
    </w:p>
    <w:p>
      <w:pPr xmlns:w="http://schemas.openxmlformats.org/wordprocessingml/2006/main">
        <w:spacing w:after="0" w:line="232" w:lineRule="auto"/>
        <w:rPr>
          <w:sz w:val="20"/>
          <w:szCs w:val="20"/>
          <w:color w:val="auto"/>
        </w:rPr>
      </w:pPr>
      <w:r>
        <w:rPr xmlns:w="http://schemas.openxmlformats.org/wordprocessingml/2006/main">
          <w:rFonts w:ascii="Arial" w:cs="Arial" w:eastAsia="Arial" w:hAnsi="Arial"/>
          <w:sz w:val="18"/>
          <w:szCs w:val="18"/>
          <w:b w:val="1"/>
          <w:bCs w:val="1"/>
          <w:color w:val="414956"/>
        </w:rPr>
        <w:t xml:space="preserve">Πρόσθετες πληροφορίες:</w:t>
      </w:r>
      <w:r>
        <w:rPr xmlns:w="http://schemas.openxmlformats.org/wordprocessingml/2006/main">
          <w:rFonts w:ascii="Arial" w:cs="Arial" w:eastAsia="Arial" w:hAnsi="Arial"/>
          <w:sz w:val="18"/>
          <w:szCs w:val="18"/>
          <w:color w:val="414956"/>
        </w:rPr>
        <w:t xml:space="preserve"> Καμία.</w:t>
      </w:r>
    </w:p>
    <w:p>
      <w:pPr>
        <w:spacing w:after="0" w:line="17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Επιδιωκόμενος ιδιώτης επενδυτής</w:t>
      </w:r>
    </w:p>
    <w:p>
      <w:pPr>
        <w:spacing w:after="0" w:line="46" w:lineRule="exact"/>
        <w:rPr>
          <w:sz w:val="24"/>
          <w:szCs w:val="24"/>
          <w:color w:val="auto"/>
        </w:rPr>
      </w:pPr>
    </w:p>
    <w:p>
      <w:pPr xmlns:w="http://schemas.openxmlformats.org/wordprocessingml/2006/main">
        <w:jc w:val="both"/>
        <w:spacing w:after="0" w:line="246" w:lineRule="auto"/>
        <w:rPr>
          <w:sz w:val="20"/>
          <w:szCs w:val="20"/>
          <w:color w:val="auto"/>
        </w:rPr>
      </w:pPr>
      <w:r>
        <w:rPr xmlns:w="http://schemas.openxmlformats.org/wordprocessingml/2006/main">
          <w:rFonts w:ascii="Arial" w:cs="Arial" w:eastAsia="Arial" w:hAnsi="Arial"/>
          <w:sz w:val="17"/>
          <w:szCs w:val="17"/>
          <w:color w:val="414956"/>
        </w:rPr>
        <w:t xml:space="preserve">Το προϊόν αυτό προορίζεται για επενδυτές που επιθυμούν να πραγματοποιήσουν επενδύσεις σε μια ευμετάβλητη κατηγορία περιουσιακών στοιχείων με την προσδοκία επαρκούς ανατίμησης της αξίας με την πάροδο του χρόνου για να καλύψουν το επαναλαμβανόμενο κόστος.</w:t>
      </w:r>
      <w:r>
        <w:rPr xmlns:w="http://schemas.openxmlformats.org/wordprocessingml/2006/main">
          <w:rFonts w:ascii="Arial" w:cs="Arial" w:eastAsia="Arial" w:hAnsi="Arial"/>
          <w:sz w:val="17"/>
          <w:szCs w:val="17"/>
          <w:color w:val="414956"/>
        </w:rPr>
        <w:t xml:space="preserve"> έχουν επίγνωση της υψηλής μεταβλητότητας των τιμών και της δυνητικής αρνητικής επίπτωσης στις βραχυπρόθεσμες επιδόσεις του προϊόντος·</w:t>
      </w:r>
      <w:r>
        <w:rPr xmlns:w="http://schemas.openxmlformats.org/wordprocessingml/2006/main">
          <w:rFonts w:ascii="Arial" w:cs="Arial" w:eastAsia="Arial" w:hAnsi="Arial"/>
          <w:sz w:val="17"/>
          <w:szCs w:val="17"/>
          <w:color w:val="414956"/>
        </w:rPr>
        <w:t xml:space="preserve"> έχουν περιορισμένη πρόσβαση ή δεν θέλουν να αντιμετωπίσουν τις τεχνικές απαιτήσεις που συνεπάγεται η επένδυση απευθείας στο Bitcoin και, ως εκ τούτου, προτιμούν να επενδύσουν έμμεσα μέσω ενός εγγυημένου χρεωστικού τίτλου·</w:t>
      </w:r>
      <w:r>
        <w:rPr xmlns:w="http://schemas.openxmlformats.org/wordprocessingml/2006/main">
          <w:rFonts w:ascii="Arial" w:cs="Arial" w:eastAsia="Arial" w:hAnsi="Arial"/>
          <w:sz w:val="17"/>
          <w:szCs w:val="17"/>
          <w:color w:val="414956"/>
        </w:rPr>
        <w:t xml:space="preserve"> να διαθέτουν επαρκείς γνώσεις ή/και πείρα σε αυτόν τον τύπο προϊόντων ή παρόμοιων προϊόντων και, ιδίως, σε τίτλους προερχόμενους από τιτλοποίηση·</w:t>
      </w:r>
      <w:r>
        <w:rPr xmlns:w="http://schemas.openxmlformats.org/wordprocessingml/2006/main">
          <w:rFonts w:ascii="Arial" w:cs="Arial" w:eastAsia="Arial" w:hAnsi="Arial"/>
          <w:sz w:val="17"/>
          <w:szCs w:val="17"/>
          <w:color w:val="414956"/>
        </w:rPr>
        <w:t xml:space="preserve"> και είναι σε θέση να επωμιστούν ζημίες μέχρι τη συνολική απώλεια της επένδυσής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1877695</wp:posOffset>
            </wp:positionH>
            <wp:positionV relativeFrom="paragraph">
              <wp:posOffset>1547495</wp:posOffset>
            </wp:positionV>
            <wp:extent cx="1367790" cy="4292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pacing w:after="0" w:line="687" w:lineRule="exact"/>
        <w:rPr>
          <w:sz w:val="24"/>
          <w:szCs w:val="24"/>
          <w:color w:val="auto"/>
        </w:rPr>
      </w:pPr>
    </w:p>
    <w:p>
      <w:pPr>
        <w:sectPr>
          <w:pgSz w:w="11900" w:h="16838" w:orient="portrait"/>
          <w:cols w:equalWidth="0" w:num="2">
            <w:col w:w="5180" w:space="460"/>
            <w:col w:w="5020"/>
          </w:cols>
          <w:pgMar w:left="480" w:top="80" w:right="7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414956"/>
        </w:rPr>
        <w:t xml:space="preserve">1/3</w:t>
      </w:r>
    </w:p>
    <w:p>
      <w:pPr>
        <w:sectPr>
          <w:pgSz w:w="11900" w:h="16838" w:orient="portrait"/>
          <w:cols w:equalWidth="0" w:num="1">
            <w:col w:w="10660"/>
          </w:cols>
          <w:pgMar w:left="480" w:top="80" w:right="76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95427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560310" cy="954278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Φυσική πιστότητα Bitcoin ETP</w:t>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Ποιοι είναι οι κίνδυνοι και τι θα μπορούσα να πάρω ως αντάλλαγμα;</w:t>
      </w:r>
    </w:p>
    <w:p>
      <w:pPr>
        <w:spacing w:after="0" w:line="6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Δείκτης κινδύνου</w:t>
      </w:r>
    </w:p>
    <w:p>
      <w:pPr>
        <w:spacing w:after="0" w:line="372" w:lineRule="exact"/>
        <w:rPr>
          <w:sz w:val="20"/>
          <w:szCs w:val="20"/>
          <w:color w:val="auto"/>
        </w:rPr>
      </w:pPr>
    </w:p>
    <w:p>
      <w:pPr xmlns:w="http://schemas.openxmlformats.org/wordprocessingml/2006/main">
        <w:ind w:left="3680"/>
        <w:spacing w:after="0"/>
        <w:tabs>
          <w:tab w:leader="none" w:pos="4240" w:val="left"/>
          <w:tab w:leader="none" w:pos="4800" w:val="left"/>
          <w:tab w:leader="none" w:pos="5360" w:val="left"/>
          <w:tab w:leader="none" w:pos="5940" w:val="left"/>
          <w:tab w:leader="none" w:pos="6500" w:val="left"/>
          <w:tab w:leader="none" w:pos="7060" w:val="left"/>
        </w:tabs>
        <w:rPr>
          <w:sz w:val="20"/>
          <w:szCs w:val="20"/>
          <w:color w:val="auto"/>
        </w:rPr>
      </w:pPr>
      <w:r>
        <w:rPr xmlns:w="http://schemas.openxmlformats.org/wordprocessingml/2006/main">
          <w:rFonts w:ascii="Arial" w:cs="Arial" w:eastAsia="Arial" w:hAnsi="Arial"/>
          <w:sz w:val="16"/>
          <w:szCs w:val="16"/>
          <w:b w:val="1"/>
          <w:bCs w:val="1"/>
          <w:color w:val="auto"/>
        </w:rPr>
        <w:t xml:space="preserve">1</w:t>
        <w:tab xmlns:w="http://schemas.openxmlformats.org/wordprocessingml/2006/main"/>
      </w:r>
      <w:r>
        <w:rPr xmlns:w="http://schemas.openxmlformats.org/wordprocessingml/2006/main">
          <w:rFonts w:ascii="Arial" w:cs="Arial" w:eastAsia="Arial" w:hAnsi="Arial"/>
          <w:sz w:val="16"/>
          <w:szCs w:val="16"/>
          <w:b w:val="1"/>
          <w:bCs w:val="1"/>
          <w:color w:val="auto"/>
        </w:rPr>
        <w:t xml:space="preserve">2</w:t>
        <w:tab xmlns:w="http://schemas.openxmlformats.org/wordprocessingml/2006/main"/>
      </w:r>
      <w:r>
        <w:rPr xmlns:w="http://schemas.openxmlformats.org/wordprocessingml/2006/main">
          <w:rFonts w:ascii="Arial" w:cs="Arial" w:eastAsia="Arial" w:hAnsi="Arial"/>
          <w:sz w:val="16"/>
          <w:szCs w:val="16"/>
          <w:b w:val="1"/>
          <w:bCs w:val="1"/>
          <w:color w:val="auto"/>
        </w:rPr>
        <w:t xml:space="preserve">3</w:t>
        <w:tab xmlns:w="http://schemas.openxmlformats.org/wordprocessingml/2006/main"/>
      </w:r>
      <w:r>
        <w:rPr xmlns:w="http://schemas.openxmlformats.org/wordprocessingml/2006/main">
          <w:rFonts w:ascii="Arial" w:cs="Arial" w:eastAsia="Arial" w:hAnsi="Arial"/>
          <w:sz w:val="16"/>
          <w:szCs w:val="16"/>
          <w:b w:val="1"/>
          <w:bCs w:val="1"/>
          <w:color w:val="auto"/>
        </w:rPr>
        <w:t xml:space="preserve">4</w:t>
        <w:tab xmlns:w="http://schemas.openxmlformats.org/wordprocessingml/2006/main"/>
      </w:r>
      <w:r>
        <w:rPr xmlns:w="http://schemas.openxmlformats.org/wordprocessingml/2006/main">
          <w:rFonts w:ascii="Arial" w:cs="Arial" w:eastAsia="Arial" w:hAnsi="Arial"/>
          <w:sz w:val="16"/>
          <w:szCs w:val="16"/>
          <w:b w:val="1"/>
          <w:bCs w:val="1"/>
          <w:color w:val="auto"/>
        </w:rPr>
        <w:t xml:space="preserve">5</w:t>
        <w:tab xmlns:w="http://schemas.openxmlformats.org/wordprocessingml/2006/main"/>
      </w:r>
      <w:r>
        <w:rPr xmlns:w="http://schemas.openxmlformats.org/wordprocessingml/2006/main">
          <w:rFonts w:ascii="Arial" w:cs="Arial" w:eastAsia="Arial" w:hAnsi="Arial"/>
          <w:sz w:val="16"/>
          <w:szCs w:val="16"/>
          <w:b w:val="1"/>
          <w:bCs w:val="1"/>
          <w:color w:val="FFFFFF"/>
        </w:rPr>
        <w:t xml:space="preserve">6</w:t>
        <w:tab xmlns:w="http://schemas.openxmlformats.org/wordprocessingml/2006/main"/>
      </w:r>
      <w:r>
        <w:rPr xmlns:w="http://schemas.openxmlformats.org/wordprocessingml/2006/main">
          <w:rFonts w:ascii="Arial" w:cs="Arial" w:eastAsia="Arial" w:hAnsi="Arial"/>
          <w:sz w:val="14"/>
          <w:szCs w:val="14"/>
          <w:b w:val="1"/>
          <w:bCs w:val="1"/>
          <w:color w:val="auto"/>
        </w:rPr>
        <w:t xml:space="preserve">7</w:t>
      </w:r>
    </w:p>
    <w:p>
      <w:pPr>
        <w:spacing w:after="0" w:line="383" w:lineRule="exact"/>
        <w:rPr>
          <w:sz w:val="20"/>
          <w:szCs w:val="20"/>
          <w:color w:val="auto"/>
        </w:rPr>
      </w:pPr>
    </w:p>
    <w:p>
      <w:pPr xmlns:w="http://schemas.openxmlformats.org/wordprocessingml/2006/main">
        <w:ind w:left="2940"/>
        <w:spacing w:after="0"/>
        <w:tabs>
          <w:tab w:leader="none" w:pos="6900" w:val="left"/>
        </w:tabs>
        <w:rPr>
          <w:sz w:val="20"/>
          <w:szCs w:val="20"/>
          <w:color w:val="auto"/>
        </w:rPr>
      </w:pPr>
      <w:r>
        <w:rPr xmlns:w="http://schemas.openxmlformats.org/wordprocessingml/2006/main">
          <w:rFonts w:ascii="Arial" w:cs="Arial" w:eastAsia="Arial" w:hAnsi="Arial"/>
          <w:sz w:val="18"/>
          <w:szCs w:val="18"/>
          <w:color w:val="006193"/>
        </w:rPr>
        <w:t xml:space="preserve">Μείωση κινδύνου</w:t>
        <w:tab xmlns:w="http://schemas.openxmlformats.org/wordprocessingml/2006/main"/>
      </w:r>
      <w:r>
        <w:rPr xmlns:w="http://schemas.openxmlformats.org/wordprocessingml/2006/main">
          <w:rFonts w:ascii="Arial" w:cs="Arial" w:eastAsia="Arial" w:hAnsi="Arial"/>
          <w:sz w:val="16"/>
          <w:szCs w:val="16"/>
          <w:color w:val="006193"/>
        </w:rPr>
        <w:t xml:space="preserve">Υψηλότερος κίνδυνος</w:t>
      </w:r>
    </w:p>
    <w:p>
      <w:pPr>
        <w:spacing w:after="0" w:line="146" w:lineRule="exact"/>
        <w:rPr>
          <w:sz w:val="20"/>
          <w:szCs w:val="20"/>
          <w:color w:val="auto"/>
        </w:rPr>
      </w:pPr>
    </w:p>
    <w:p>
      <w:pPr xmlns:w="http://schemas.openxmlformats.org/wordprocessingml/2006/main">
        <w:ind w:left="242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Ο δείκτης κινδύνου υποθέτει ότι θα κρατήσει το προϊόν για 6 χρόνια.</w:t>
      </w:r>
    </w:p>
    <w:p>
      <w:pPr xmlns:w="http://schemas.openxmlformats.org/wordprocessingml/2006/main">
        <w:ind w:left="2420"/>
        <w:spacing w:after="0" w:line="237" w:lineRule="auto"/>
        <w:rPr>
          <w:sz w:val="20"/>
          <w:szCs w:val="20"/>
          <w:color w:val="auto"/>
        </w:rPr>
      </w:pPr>
      <w:r>
        <w:rPr xmlns:w="http://schemas.openxmlformats.org/wordprocessingml/2006/main">
          <w:rFonts w:ascii="Arial" w:cs="Arial" w:eastAsia="Arial" w:hAnsi="Arial"/>
          <w:sz w:val="16"/>
          <w:szCs w:val="16"/>
          <w:b w:val="1"/>
          <w:bCs w:val="1"/>
          <w:color w:val="414956"/>
        </w:rPr>
        <w:t xml:space="preserve">Ο πραγματικός κίνδυνος μπορεί να ποικίλει σημαντικά αν μετρητά σε πρώιμο στάδιο και μπορεί να πάρει πίσω λιγότερο.</w:t>
      </w:r>
    </w:p>
    <w:p>
      <w:pPr xmlns:w="http://schemas.openxmlformats.org/wordprocessingml/2006/main">
        <w:ind w:left="2420" w:right="140"/>
        <w:spacing w:after="0" w:line="231" w:lineRule="auto"/>
        <w:rPr>
          <w:sz w:val="20"/>
          <w:szCs w:val="20"/>
          <w:color w:val="auto"/>
        </w:rPr>
      </w:pPr>
      <w:r>
        <w:rPr xmlns:w="http://schemas.openxmlformats.org/wordprocessingml/2006/main">
          <w:rFonts w:ascii="Arial" w:cs="Arial" w:eastAsia="Arial" w:hAnsi="Arial"/>
          <w:sz w:val="16"/>
          <w:szCs w:val="16"/>
          <w:b w:val="1"/>
          <w:bCs w:val="1"/>
          <w:color w:val="414956"/>
        </w:rPr>
        <w:t xml:space="preserve">Μπορεί να μην είστε σε θέση να πουλήσετε το προϊόν σας εύκολα ή μπορεί να χρειαστεί να πουλήσετε σε τιμή που επηρεάζει σημαντικά το πόσο παίρνετε πίσω.</w:t>
      </w:r>
    </w:p>
    <w:p>
      <w:pPr>
        <w:spacing w:after="0" w:line="215" w:lineRule="exact"/>
        <w:rPr>
          <w:sz w:val="20"/>
          <w:szCs w:val="20"/>
          <w:color w:val="auto"/>
        </w:rPr>
      </w:pPr>
    </w:p>
    <w:p>
      <w:pPr xmlns:w="http://schemas.openxmlformats.org/wordprocessingml/2006/main">
        <w:ind w:right="1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8"/>
          <w:szCs w:val="18"/>
          <w:color w:val="414956"/>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Έχουμε ταξινομήσει αυτό το προϊόν ως 6 από 7, το οποίο είναι η δεύτερη υψηλότερη κατηγορία κινδύνου.</w:t>
      </w:r>
    </w:p>
    <w:p>
      <w:pPr>
        <w:spacing w:after="0" w:line="5" w:lineRule="exact"/>
        <w:rPr>
          <w:sz w:val="20"/>
          <w:szCs w:val="20"/>
          <w:color w:val="auto"/>
        </w:rPr>
      </w:pPr>
    </w:p>
    <w:p>
      <w:pPr xmlns:w="http://schemas.openxmlformats.org/wordprocessingml/2006/main">
        <w:ind w:right="18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Αυτό βαθμολογεί τις πιθανές απώλειες από τις μελλοντικές επιδόσεις σε υψηλό επίπεδο, και οι κακές συνθήκες της αγοράς είναι πολύ πιθανό να επηρεάσουν την ικανότητα να σας πληρώσει.</w:t>
      </w:r>
    </w:p>
    <w:p>
      <w:pPr>
        <w:spacing w:after="0" w:line="28" w:lineRule="exact"/>
        <w:rPr>
          <w:sz w:val="20"/>
          <w:szCs w:val="20"/>
          <w:color w:val="auto"/>
        </w:rPr>
      </w:pPr>
    </w:p>
    <w:p>
      <w:pPr xmlns:w="http://schemas.openxmlformats.org/wordprocessingml/2006/main">
        <w:ind w:right="140"/>
        <w:spacing w:after="0" w:line="238" w:lineRule="auto"/>
        <w:rPr>
          <w:sz w:val="20"/>
          <w:szCs w:val="20"/>
          <w:color w:val="auto"/>
        </w:rPr>
      </w:pPr>
      <w:r>
        <w:rPr xmlns:w="http://schemas.openxmlformats.org/wordprocessingml/2006/main">
          <w:rFonts w:ascii="Arial" w:cs="Arial" w:eastAsia="Arial" w:hAnsi="Arial"/>
          <w:sz w:val="18"/>
          <w:szCs w:val="18"/>
          <w:b w:val="1"/>
          <w:bCs w:val="1"/>
          <w:color w:val="414956"/>
        </w:rPr>
        <w:t xml:space="preserve">Να είστε ενήμεροι για τους συναλλαγματικούς κινδύνους.</w:t>
      </w:r>
      <w:r>
        <w:rPr xmlns:w="http://schemas.openxmlformats.org/wordprocessingml/2006/main">
          <w:rFonts w:ascii="Arial" w:cs="Arial" w:eastAsia="Arial" w:hAnsi="Arial"/>
          <w:sz w:val="18"/>
          <w:szCs w:val="18"/>
          <w:b w:val="1"/>
          <w:bCs w:val="1"/>
          <w:color w:val="414956"/>
        </w:rPr>
        <w:t xml:space="preserve"> Θα λάβετε πληρωμές σε διαφορετικό νόμισμα, έτσι ώστε η τελική απόδοση που θα πάρετε εξαρτάται από τη συναλλαγματική ισοτιμία μεταξύ των δύο νομισμάτων.</w:t>
      </w:r>
      <w:r>
        <w:rPr xmlns:w="http://schemas.openxmlformats.org/wordprocessingml/2006/main">
          <w:rFonts w:ascii="Arial" w:cs="Arial" w:eastAsia="Arial" w:hAnsi="Arial"/>
          <w:sz w:val="18"/>
          <w:szCs w:val="18"/>
          <w:b w:val="1"/>
          <w:bCs w:val="1"/>
          <w:color w:val="414956"/>
        </w:rPr>
        <w:t xml:space="preserve"> Ο κίνδυνος αυτός δεν λαμβάνεται υπόψη στον προαναφερόμενο δείκτη.</w:t>
      </w:r>
    </w:p>
    <w:p>
      <w:pPr>
        <w:spacing w:after="0" w:line="27" w:lineRule="exact"/>
        <w:rPr>
          <w:sz w:val="20"/>
          <w:szCs w:val="20"/>
          <w:color w:val="auto"/>
        </w:rPr>
      </w:pPr>
    </w:p>
    <w:p>
      <w:pPr xmlns:w="http://schemas.openxmlformats.org/wordprocessingml/2006/main">
        <w:ind w:right="18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Επιπλέον, το προϊόν υπόκειται σε περαιτέρω κινδύνους, όπως αβεβαιότητες που σχετίζονται με τη νομική και ρυθμιστική κατάσταση του υποκείμενου ή τους κινδύνους που σχετίζονται με την εκκολαπτόμενη τεχνολογία και τα πρωτόκολλα κρυπτογράφησης, όπως η πειρατεία και η κλοπή του Bitcoin.</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Αν η Fidelity Exchange Trading Products GmbH δεν είναι σε θέση να σας πληρώσει τι οφείλεται, θα μπορούσατε να χάσετε ολόκληρη την επένδυσή σας.</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Σενάρια επιδόσεων</w:t>
      </w:r>
    </w:p>
    <w:p>
      <w:pPr>
        <w:spacing w:after="0" w:line="32" w:lineRule="exact"/>
        <w:rPr>
          <w:sz w:val="20"/>
          <w:szCs w:val="20"/>
          <w:color w:val="auto"/>
        </w:rPr>
      </w:pPr>
    </w:p>
    <w:p>
      <w:pPr xmlns:w="http://schemas.openxmlformats.org/wordprocessingml/2006/main">
        <w:ind w:right="20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Arial" w:cs="Arial" w:eastAsia="Arial" w:hAnsi="Arial"/>
          <w:sz w:val="18"/>
          <w:szCs w:val="18"/>
          <w:color w:val="414956"/>
        </w:rPr>
        <w:t xml:space="preserve"> Τα στοιχεία δεν λαμβάνουν υπόψη την προσωπική σας φορολογική κατάσταση, η οποία μπορεί επίσης να επηρεάσει το πόσο θα πάρετε πίσω.</w:t>
      </w:r>
    </w:p>
    <w:p>
      <w:pPr>
        <w:spacing w:after="0" w:line="27"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8"/>
          <w:szCs w:val="18"/>
          <w:color w:val="414956"/>
        </w:rPr>
        <w:t xml:space="preserve"> Η εξέλιξη της αγοράς στο μέλλον είναι αβέβαιη και δεν μπορεί να προβλεφθεί με ακρίβεια.</w:t>
      </w:r>
    </w:p>
    <w:p>
      <w:pPr>
        <w:spacing w:after="0" w:line="27" w:lineRule="exact"/>
        <w:rPr>
          <w:sz w:val="20"/>
          <w:szCs w:val="20"/>
          <w:color w:val="auto"/>
        </w:rPr>
      </w:pPr>
    </w:p>
    <w:p>
      <w:pPr xmlns:w="http://schemas.openxmlformats.org/wordprocessingml/2006/main">
        <w:ind w:right="18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Τα δυσμενή, μέτρια και ευνοϊκά σενάρια που παρουσιάζονται είναι απεικονίσεις που χρησιμοποιούν τη χειρότερη, μέση και βέλτιστη απόδοση του προϊόντος και ένα κατάλληλο σημείο αναφοράς κατά τα τελευταία 11 χρόνια.</w:t>
      </w:r>
      <w:r>
        <w:rPr xmlns:w="http://schemas.openxmlformats.org/wordprocessingml/2006/main">
          <w:rFonts w:ascii="Arial" w:cs="Arial" w:eastAsia="Arial" w:hAnsi="Arial"/>
          <w:sz w:val="18"/>
          <w:szCs w:val="18"/>
          <w:color w:val="414956"/>
        </w:rPr>
        <w:t xml:space="preserve"> Οι αγορές θα μπορούσαν να αναπτυχθούν πολύ διαφορετικά στο μέλλον.</w:t>
      </w:r>
    </w:p>
    <w:p>
      <w:pPr>
        <w:spacing w:after="0" w:line="46" w:lineRule="exact"/>
        <w:rPr>
          <w:sz w:val="20"/>
          <w:szCs w:val="20"/>
          <w:color w:val="auto"/>
        </w:rPr>
      </w:pPr>
    </w:p>
    <w:tbl>
      <w:tblPr>
        <w:tblLayout w:type="fixed"/>
        <w:tblInd w:w="10" w:type="dxa"/>
        <w:tblCellMar>
          <w:top w:w="0" w:type="dxa"/>
          <w:left w:w="0" w:type="dxa"/>
          <w:bottom w:w="0" w:type="dxa"/>
          <w:right w:w="0" w:type="dxa"/>
        </w:tblCellMar>
      </w:tblPr>
      <w:tr>
        <w:trPr>
          <w:trHeight w:val="222"/>
        </w:trPr>
        <w:tc>
          <w:tcPr>
            <w:tcW w:w="6340" w:type="dxa"/>
            <w:vAlign w:val="bottom"/>
            <w:tcBorders>
              <w:top w:val="single" w:sz="8" w:color="808080"/>
              <w:left w:val="single" w:sz="8" w:color="808080"/>
              <w:right w:val="single" w:sz="8" w:color="808080"/>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Συνιστώμενη περίοδος διατήρησης:</w:t>
            </w:r>
            <w:r>
              <w:rPr xmlns:w="http://schemas.openxmlformats.org/wordprocessingml/2006/main">
                <w:rFonts w:ascii="Arial" w:cs="Arial" w:eastAsia="Arial" w:hAnsi="Arial"/>
                <w:sz w:val="16"/>
                <w:szCs w:val="16"/>
                <w:b w:val="1"/>
                <w:bCs w:val="1"/>
                <w:color w:val="FFFFFF"/>
              </w:rPr>
              <w:t xml:space="preserve"> 6 χρόνια</w:t>
            </w:r>
          </w:p>
        </w:tc>
        <w:tc>
          <w:tcPr>
            <w:tcW w:w="2140" w:type="dxa"/>
            <w:vAlign w:val="bottom"/>
            <w:tcBorders>
              <w:top w:val="single" w:sz="8" w:color="808080"/>
              <w:right w:val="single" w:sz="8" w:color="808080"/>
            </w:tcBorders>
          </w:tcPr>
          <w:p>
            <w:pPr>
              <w:spacing w:after="0"/>
              <w:rPr>
                <w:sz w:val="19"/>
                <w:szCs w:val="19"/>
                <w:color w:val="auto"/>
              </w:rPr>
            </w:pPr>
          </w:p>
        </w:tc>
        <w:tc>
          <w:tcPr>
            <w:tcW w:w="1760" w:type="dxa"/>
            <w:vAlign w:val="bottom"/>
            <w:tcBorders>
              <w:top w:val="single" w:sz="8" w:color="808080"/>
            </w:tcBorders>
          </w:tcPr>
          <w:p>
            <w:pPr>
              <w:spacing w:after="0"/>
              <w:rPr>
                <w:sz w:val="19"/>
                <w:szCs w:val="19"/>
                <w:color w:val="auto"/>
              </w:rPr>
            </w:pPr>
          </w:p>
        </w:tc>
        <w:tc>
          <w:tcPr>
            <w:tcW w:w="400" w:type="dxa"/>
            <w:vAlign w:val="bottom"/>
            <w:tcBorders>
              <w:top w:val="single" w:sz="8" w:color="808080"/>
              <w:right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189"/>
        </w:trPr>
        <w:tc>
          <w:tcPr>
            <w:tcW w:w="2340" w:type="dxa"/>
            <w:vAlign w:val="bottom"/>
            <w:tcBorders>
              <w:lef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Παράδειγμα επένδυσης:</w:t>
            </w:r>
            <w:r>
              <w:rPr xmlns:w="http://schemas.openxmlformats.org/wordprocessingml/2006/main">
                <w:rFonts w:ascii="Arial" w:cs="Arial" w:eastAsia="Arial" w:hAnsi="Arial"/>
                <w:sz w:val="16"/>
                <w:szCs w:val="16"/>
                <w:b w:val="1"/>
                <w:bCs w:val="1"/>
                <w:color w:val="FFFFFF"/>
                <w:w w:val="88"/>
              </w:rPr>
              <w:t xml:space="preserve"> 10.000 ευρώ</w:t>
            </w:r>
          </w:p>
        </w:tc>
        <w:tc>
          <w:tcPr>
            <w:tcW w:w="4000" w:type="dxa"/>
            <w:vAlign w:val="bottom"/>
            <w:tcBorders>
              <w:right w:val="single" w:sz="8" w:color="808080"/>
            </w:tcBorders>
          </w:tcPr>
          <w:p>
            <w:pPr>
              <w:spacing w:after="0"/>
              <w:rPr>
                <w:sz w:val="16"/>
                <w:szCs w:val="16"/>
                <w:color w:val="auto"/>
              </w:rPr>
            </w:pPr>
          </w:p>
        </w:tc>
        <w:tc>
          <w:tcPr>
            <w:tcW w:w="2140" w:type="dxa"/>
            <w:vAlign w:val="bottom"/>
            <w:tcBorders>
              <w:right w:val="single" w:sz="8" w:color="808080"/>
            </w:tcBorders>
            <w:vMerge w:val="restart"/>
          </w:tcPr>
          <w:p>
            <w:pPr xmlns:w="http://schemas.openxmlformats.org/wordprocessingml/2006/main">
              <w:jc w:val="right"/>
              <w:ind w:right="251"/>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1 έτος</w:t>
            </w:r>
          </w:p>
        </w:tc>
        <w:tc>
          <w:tcPr>
            <w:tcW w:w="2140" w:type="dxa"/>
            <w:vAlign w:val="bottom"/>
            <w:tcBorders>
              <w:right w:val="single" w:sz="8" w:color="808080"/>
            </w:tcBorders>
            <w:gridSpan w:val="2"/>
            <w:vMerge w:val="restart"/>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Αν βγείτε μετά από 6 χρόνια</w:t>
            </w:r>
          </w:p>
        </w:tc>
        <w:tc>
          <w:tcPr>
            <w:tcW w:w="0" w:type="dxa"/>
            <w:vAlign w:val="bottom"/>
          </w:tcPr>
          <w:p>
            <w:pPr>
              <w:spacing w:after="0"/>
              <w:rPr>
                <w:sz w:val="1"/>
                <w:szCs w:val="1"/>
                <w:color w:val="auto"/>
              </w:rPr>
            </w:pPr>
          </w:p>
        </w:tc>
      </w:tr>
      <w:tr>
        <w:trPr>
          <w:trHeight w:val="89"/>
        </w:trPr>
        <w:tc>
          <w:tcPr>
            <w:tcW w:w="2340" w:type="dxa"/>
            <w:vAlign w:val="bottom"/>
            <w:tcBorders>
              <w:left w:val="single" w:sz="8" w:color="808080"/>
            </w:tcBorders>
          </w:tcPr>
          <w:p>
            <w:pPr>
              <w:spacing w:after="0"/>
              <w:rPr>
                <w:sz w:val="7"/>
                <w:szCs w:val="7"/>
                <w:color w:val="auto"/>
              </w:rPr>
            </w:pPr>
          </w:p>
        </w:tc>
        <w:tc>
          <w:tcPr>
            <w:tcW w:w="4000" w:type="dxa"/>
            <w:vAlign w:val="bottom"/>
            <w:tcBorders>
              <w:right w:val="single" w:sz="8" w:color="808080"/>
            </w:tcBorders>
          </w:tcPr>
          <w:p>
            <w:pPr>
              <w:spacing w:after="0"/>
              <w:rPr>
                <w:sz w:val="7"/>
                <w:szCs w:val="7"/>
                <w:color w:val="auto"/>
              </w:rPr>
            </w:pPr>
          </w:p>
        </w:tc>
        <w:tc>
          <w:tcPr>
            <w:tcW w:w="2140" w:type="dxa"/>
            <w:vAlign w:val="bottom"/>
            <w:tcBorders>
              <w:right w:val="single" w:sz="8" w:color="808080"/>
            </w:tcBorders>
            <w:vMerge w:val="continue"/>
          </w:tcPr>
          <w:p>
            <w:pPr>
              <w:spacing w:after="0"/>
              <w:rPr>
                <w:sz w:val="7"/>
                <w:szCs w:val="7"/>
                <w:color w:val="auto"/>
              </w:rPr>
            </w:pPr>
          </w:p>
        </w:tc>
        <w:tc>
          <w:tcPr>
            <w:tcW w:w="2140" w:type="dxa"/>
            <w:vAlign w:val="bottom"/>
            <w:tcBorders>
              <w:right w:val="single" w:sz="8" w:color="808080"/>
            </w:tcBorders>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65"/>
        </w:trPr>
        <w:tc>
          <w:tcPr>
            <w:tcW w:w="2340" w:type="dxa"/>
            <w:vAlign w:val="bottom"/>
            <w:tcBorders>
              <w:lef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Σενάρια</w:t>
            </w:r>
          </w:p>
        </w:tc>
        <w:tc>
          <w:tcPr>
            <w:tcW w:w="4000" w:type="dxa"/>
            <w:vAlign w:val="bottom"/>
            <w:tcBorders>
              <w:right w:val="single" w:sz="8" w:color="808080"/>
            </w:tcBorders>
          </w:tcPr>
          <w:p>
            <w:pPr>
              <w:spacing w:after="0"/>
              <w:rPr>
                <w:sz w:val="23"/>
                <w:szCs w:val="23"/>
                <w:color w:val="auto"/>
              </w:rPr>
            </w:pPr>
          </w:p>
        </w:tc>
        <w:tc>
          <w:tcPr>
            <w:tcW w:w="2140" w:type="dxa"/>
            <w:vAlign w:val="bottom"/>
            <w:tcBorders>
              <w:right w:val="single" w:sz="8" w:color="808080"/>
            </w:tcBorders>
          </w:tcPr>
          <w:p>
            <w:pPr>
              <w:spacing w:after="0"/>
              <w:rPr>
                <w:sz w:val="23"/>
                <w:szCs w:val="23"/>
                <w:color w:val="auto"/>
              </w:rPr>
            </w:pPr>
          </w:p>
        </w:tc>
        <w:tc>
          <w:tcPr>
            <w:tcW w:w="1760" w:type="dxa"/>
            <w:vAlign w:val="bottom"/>
          </w:tcPr>
          <w:p>
            <w:pPr>
              <w:spacing w:after="0"/>
              <w:rPr>
                <w:sz w:val="23"/>
                <w:szCs w:val="23"/>
                <w:color w:val="auto"/>
              </w:rPr>
            </w:pPr>
          </w:p>
        </w:tc>
        <w:tc>
          <w:tcPr>
            <w:tcW w:w="400" w:type="dxa"/>
            <w:vAlign w:val="bottom"/>
            <w:tcBorders>
              <w:right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4"/>
        </w:trPr>
        <w:tc>
          <w:tcPr>
            <w:tcW w:w="2340" w:type="dxa"/>
            <w:vAlign w:val="bottom"/>
            <w:tcBorders>
              <w:left w:val="single" w:sz="8" w:color="808080"/>
              <w:bottom w:val="single" w:sz="8" w:color="808080"/>
            </w:tcBorders>
          </w:tcPr>
          <w:p>
            <w:pPr>
              <w:spacing w:after="0"/>
              <w:rPr>
                <w:sz w:val="2"/>
                <w:szCs w:val="2"/>
                <w:color w:val="auto"/>
              </w:rPr>
            </w:pPr>
          </w:p>
        </w:tc>
        <w:tc>
          <w:tcPr>
            <w:tcW w:w="4000" w:type="dxa"/>
            <w:vAlign w:val="bottom"/>
            <w:tcBorders>
              <w:bottom w:val="single" w:sz="8" w:color="808080"/>
              <w:right w:val="single" w:sz="8" w:color="808080"/>
            </w:tcBorders>
          </w:tcPr>
          <w:p>
            <w:pPr>
              <w:spacing w:after="0"/>
              <w:rPr>
                <w:sz w:val="2"/>
                <w:szCs w:val="2"/>
                <w:color w:val="auto"/>
              </w:rPr>
            </w:pPr>
          </w:p>
        </w:tc>
        <w:tc>
          <w:tcPr>
            <w:tcW w:w="2140" w:type="dxa"/>
            <w:vAlign w:val="bottom"/>
            <w:tcBorders>
              <w:bottom w:val="single" w:sz="8" w:color="808080"/>
              <w:right w:val="single" w:sz="8" w:color="808080"/>
            </w:tcBorders>
          </w:tcPr>
          <w:p>
            <w:pPr>
              <w:spacing w:after="0"/>
              <w:rPr>
                <w:sz w:val="2"/>
                <w:szCs w:val="2"/>
                <w:color w:val="auto"/>
              </w:rPr>
            </w:pPr>
          </w:p>
        </w:tc>
        <w:tc>
          <w:tcPr>
            <w:tcW w:w="1760" w:type="dxa"/>
            <w:vAlign w:val="bottom"/>
            <w:tcBorders>
              <w:bottom w:val="single" w:sz="8" w:color="808080"/>
            </w:tcBorders>
          </w:tcPr>
          <w:p>
            <w:pPr>
              <w:spacing w:after="0"/>
              <w:rPr>
                <w:sz w:val="2"/>
                <w:szCs w:val="2"/>
                <w:color w:val="auto"/>
              </w:rPr>
            </w:pPr>
          </w:p>
        </w:tc>
        <w:tc>
          <w:tcPr>
            <w:tcW w:w="400" w:type="dxa"/>
            <w:vAlign w:val="bottom"/>
            <w:tcBorders>
              <w:bottom w:val="single" w:sz="8" w:color="808080"/>
              <w:right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Ελάχιστο</w:t>
            </w:r>
          </w:p>
        </w:tc>
        <w:tc>
          <w:tcPr>
            <w:tcW w:w="7900" w:type="dxa"/>
            <w:vAlign w:val="bottom"/>
            <w:gridSpan w:val="3"/>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Δεν υπάρχει ελάχιστη εγγυημένη απόδοση.</w:t>
            </w:r>
            <w:r>
              <w:rPr xmlns:w="http://schemas.openxmlformats.org/wordprocessingml/2006/main">
                <w:rFonts w:ascii="Arial" w:cs="Arial" w:eastAsia="Arial" w:hAnsi="Arial"/>
                <w:sz w:val="18"/>
                <w:szCs w:val="18"/>
                <w:color w:val="414956"/>
              </w:rPr>
              <w:t xml:space="preserve"> Θα μπορούσες να χάσεις κάποια ή όλα τα λεφτά σου.</w:t>
            </w:r>
          </w:p>
        </w:tc>
        <w:tc>
          <w:tcPr>
            <w:tcW w:w="400" w:type="dxa"/>
            <w:vAlign w:val="bottom"/>
            <w:tcBorders>
              <w:right w:val="single" w:sz="8" w:color="808080"/>
            </w:tcBorders>
          </w:tcPr>
          <w:p>
            <w:pPr>
              <w:spacing w:after="0"/>
              <w:rPr>
                <w:sz w:val="20"/>
                <w:szCs w:val="20"/>
                <w:color w:val="auto"/>
              </w:rPr>
            </w:pP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tcBorders>
          </w:tcPr>
          <w:p>
            <w:pPr>
              <w:spacing w:after="0" w:line="20" w:lineRule="exact"/>
              <w:rPr>
                <w:sz w:val="1"/>
                <w:szCs w:val="1"/>
                <w:color w:val="auto"/>
              </w:rPr>
            </w:pPr>
          </w:p>
        </w:tc>
        <w:tc>
          <w:tcPr>
            <w:tcW w:w="2140" w:type="dxa"/>
            <w:vAlign w:val="bottom"/>
            <w:tcBorders>
              <w:bottom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9"/>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Τάση</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Τι μπορεί να πάρετε πίσω μετά το κόστος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90 EUR</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ΕΥΡΩ</w:t>
            </w: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Μέση απόδοση κάθε έτος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-99,1%</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-70,4%</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8"/>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Μη ευνοϊκό</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Τι μπορεί να πάρετε πίσω μετά το κόστος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2.670 ΕΥΡΩ</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3.940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ΕΥΡΩ</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Μέση απόδοση κάθε έτος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-73,3%</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-14,4%</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rPr>
                <w:sz w:val="2"/>
                <w:szCs w:val="2"/>
                <w:color w:val="auto"/>
              </w:rPr>
            </w:pPr>
          </w:p>
        </w:tc>
        <w:tc>
          <w:tcPr>
            <w:tcW w:w="4000" w:type="dxa"/>
            <w:vAlign w:val="bottom"/>
            <w:tcBorders>
              <w:bottom w:val="single" w:sz="8" w:color="808080"/>
              <w:right w:val="single" w:sz="8" w:color="808080"/>
            </w:tcBorders>
          </w:tcPr>
          <w:p>
            <w:pPr>
              <w:spacing w:after="0"/>
              <w:rPr>
                <w:sz w:val="2"/>
                <w:szCs w:val="2"/>
                <w:color w:val="auto"/>
              </w:rPr>
            </w:pPr>
          </w:p>
        </w:tc>
        <w:tc>
          <w:tcPr>
            <w:tcW w:w="2140" w:type="dxa"/>
            <w:vAlign w:val="bottom"/>
            <w:tcBorders>
              <w:bottom w:val="single" w:sz="8" w:color="808080"/>
              <w:right w:val="single" w:sz="8" w:color="808080"/>
            </w:tcBorders>
          </w:tcPr>
          <w:p>
            <w:pPr>
              <w:spacing w:after="0"/>
              <w:rPr>
                <w:sz w:val="2"/>
                <w:szCs w:val="2"/>
                <w:color w:val="auto"/>
              </w:rPr>
            </w:pPr>
          </w:p>
        </w:tc>
        <w:tc>
          <w:tcPr>
            <w:tcW w:w="1760" w:type="dxa"/>
            <w:vAlign w:val="bottom"/>
            <w:tcBorders>
              <w:bottom w:val="single" w:sz="8" w:color="808080"/>
            </w:tcBorders>
          </w:tcPr>
          <w:p>
            <w:pPr>
              <w:spacing w:after="0"/>
              <w:rPr>
                <w:sz w:val="2"/>
                <w:szCs w:val="2"/>
                <w:color w:val="auto"/>
              </w:rPr>
            </w:pPr>
          </w:p>
        </w:tc>
        <w:tc>
          <w:tcPr>
            <w:tcW w:w="400" w:type="dxa"/>
            <w:vAlign w:val="bottom"/>
            <w:tcBorders>
              <w:bottom w:val="single" w:sz="8" w:color="808080"/>
              <w:right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39"/>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Μέτρια</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Τι μπορεί να πάρετε πίσω μετά το κόστος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17.300 ΕΥΡΩ</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703.020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ΕΥΡΩ</w:t>
            </w: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Μέση απόδοση κάθε έτος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73,0%</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103,2%</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8"/>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Ευνοϊκή</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Τι μπορεί να πάρετε πίσω μετά το κόστος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132.140 ΕΥΡΩ</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3.648.420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ΕΥΡΩ</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72"/>
        </w:trPr>
        <w:tc>
          <w:tcPr>
            <w:tcW w:w="2340" w:type="dxa"/>
            <w:vAlign w:val="bottom"/>
            <w:tcBorders>
              <w:left w:val="single" w:sz="8" w:color="808080"/>
              <w:right w:val="single" w:sz="8" w:color="808080"/>
            </w:tcBorders>
          </w:tcPr>
          <w:p>
            <w:pPr>
              <w:spacing w:after="0"/>
              <w:rPr>
                <w:sz w:val="23"/>
                <w:szCs w:val="23"/>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Μέση απόδοση κάθε έτος</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1.221,4%</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167,3%</w:t>
            </w:r>
          </w:p>
        </w:tc>
        <w:tc>
          <w:tcPr>
            <w:tcW w:w="0" w:type="dxa"/>
            <w:vAlign w:val="bottom"/>
          </w:tcPr>
          <w:p>
            <w:pPr>
              <w:spacing w:after="0"/>
              <w:rPr>
                <w:sz w:val="1"/>
                <w:szCs w:val="1"/>
                <w:color w:val="auto"/>
              </w:rPr>
            </w:pPr>
          </w:p>
        </w:tc>
      </w:tr>
      <w:tr>
        <w:trPr>
          <w:trHeight w:val="58"/>
        </w:trPr>
        <w:tc>
          <w:tcPr>
            <w:tcW w:w="2340" w:type="dxa"/>
            <w:vAlign w:val="bottom"/>
            <w:tcBorders>
              <w:left w:val="single" w:sz="8" w:color="808080"/>
              <w:bottom w:val="single" w:sz="8" w:color="808080"/>
              <w:right w:val="single" w:sz="8" w:color="808080"/>
            </w:tcBorders>
          </w:tcPr>
          <w:p>
            <w:pPr>
              <w:spacing w:after="0"/>
              <w:rPr>
                <w:sz w:val="5"/>
                <w:szCs w:val="5"/>
                <w:color w:val="auto"/>
              </w:rPr>
            </w:pPr>
          </w:p>
        </w:tc>
        <w:tc>
          <w:tcPr>
            <w:tcW w:w="4000" w:type="dxa"/>
            <w:vAlign w:val="bottom"/>
            <w:tcBorders>
              <w:bottom w:val="single" w:sz="8" w:color="808080"/>
              <w:right w:val="single" w:sz="8" w:color="808080"/>
            </w:tcBorders>
          </w:tcPr>
          <w:p>
            <w:pPr>
              <w:spacing w:after="0"/>
              <w:rPr>
                <w:sz w:val="5"/>
                <w:szCs w:val="5"/>
                <w:color w:val="auto"/>
              </w:rPr>
            </w:pPr>
          </w:p>
        </w:tc>
        <w:tc>
          <w:tcPr>
            <w:tcW w:w="2140" w:type="dxa"/>
            <w:vAlign w:val="bottom"/>
            <w:tcBorders>
              <w:bottom w:val="single" w:sz="8" w:color="808080"/>
              <w:right w:val="single" w:sz="8" w:color="808080"/>
            </w:tcBorders>
          </w:tcPr>
          <w:p>
            <w:pPr>
              <w:spacing w:after="0"/>
              <w:rPr>
                <w:sz w:val="5"/>
                <w:szCs w:val="5"/>
                <w:color w:val="auto"/>
              </w:rPr>
            </w:pPr>
          </w:p>
        </w:tc>
        <w:tc>
          <w:tcPr>
            <w:tcW w:w="1760" w:type="dxa"/>
            <w:vAlign w:val="bottom"/>
            <w:tcBorders>
              <w:bottom w:val="single" w:sz="8" w:color="808080"/>
            </w:tcBorders>
          </w:tcPr>
          <w:p>
            <w:pPr>
              <w:spacing w:after="0"/>
              <w:rPr>
                <w:sz w:val="5"/>
                <w:szCs w:val="5"/>
                <w:color w:val="auto"/>
              </w:rPr>
            </w:pPr>
          </w:p>
        </w:tc>
        <w:tc>
          <w:tcPr>
            <w:tcW w:w="400" w:type="dxa"/>
            <w:vAlign w:val="bottom"/>
            <w:tcBorders>
              <w:bottom w:val="single" w:sz="8" w:color="808080"/>
              <w:righ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Το σενάριο άγχους δείχνει τι μπορεί να πάρετε πίσω σε ακραίες συνθήκες της αγοράς.</w:t>
      </w:r>
    </w:p>
    <w:p>
      <w:pPr>
        <w:spacing w:after="0" w:line="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Το δυσμενές σενάριο συνέβη για μια επένδυση μεταξύ 10/2021 και 4/2023.</w:t>
      </w:r>
    </w:p>
    <w:p>
      <w:pPr>
        <w:spacing w:after="0" w:line="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Το μέτριο σενάριο σημειώθηκε για μια επένδυση μεταξύ 06/2015 και 06/2020.</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Το ευνοϊκό σενάριο προέκυψε για μια επένδυση μεταξύ 03/2016 και 03/2021.</w:t>
      </w:r>
    </w:p>
    <w:p>
      <w:pPr>
        <w:spacing w:after="0" w:line="3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Τι θα συμβεί αν η Fidelity Exchange Trading Products GmbH δεν είναι σε θέση να πληρώσει;</w:t>
      </w:r>
    </w:p>
    <w:p>
      <w:pPr>
        <w:spacing w:after="0" w:line="31" w:lineRule="exact"/>
        <w:rPr>
          <w:sz w:val="20"/>
          <w:szCs w:val="20"/>
          <w:color w:val="auto"/>
        </w:rPr>
      </w:pPr>
    </w:p>
    <w:p>
      <w:pPr xmlns:w="http://schemas.openxmlformats.org/wordprocessingml/2006/main">
        <w:jc w:val="both"/>
        <w:ind w:right="100"/>
        <w:spacing w:after="0" w:line="246" w:lineRule="auto"/>
        <w:rPr>
          <w:sz w:val="20"/>
          <w:szCs w:val="20"/>
          <w:color w:val="auto"/>
        </w:rPr>
      </w:pPr>
      <w:r>
        <w:rPr xmlns:w="http://schemas.openxmlformats.org/wordprocessingml/2006/main">
          <w:rFonts w:ascii="Arial" w:cs="Arial" w:eastAsia="Arial" w:hAnsi="Arial"/>
          <w:sz w:val="17"/>
          <w:szCs w:val="17"/>
          <w:color w:val="414956"/>
        </w:rPr>
        <w:t xml:space="preserve">Αν και η Fidelity Physical Bitcoin ETP είναι ένα προϊόν που είναι εξασφαλισμένο με Bitcoins, ο επενδυτής αναλαμβάνει τον κίνδυνο να μην είναι σε θέση ο εκδότης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Arial" w:cs="Arial" w:eastAsia="Arial" w:hAnsi="Arial"/>
          <w:sz w:val="17"/>
          <w:szCs w:val="17"/>
          <w:color w:val="414956"/>
        </w:rPr>
        <w:t xml:space="preserve"> Ο εκδότης είναι φορέας ειδικού σκοπού χωρίς δικές του επιχειρηματικές δραστηριότητες.</w:t>
      </w:r>
      <w:r>
        <w:rPr xmlns:w="http://schemas.openxmlformats.org/wordprocessingml/2006/main">
          <w:rFonts w:ascii="Arial" w:cs="Arial" w:eastAsia="Arial" w:hAnsi="Arial"/>
          <w:sz w:val="17"/>
          <w:szCs w:val="17"/>
          <w:color w:val="414956"/>
        </w:rPr>
        <w:t xml:space="preserve"> Ως αποτέλεσμα, ο αποκλειστικός σκοπός του εκδότη είναι η έκδοση αυτού του προϊόντος (και άλλων προϊόντων που καλύπτονται από κρυπτονομίσματα, κατά καιρούς).</w:t>
      </w:r>
      <w:r>
        <w:rPr xmlns:w="http://schemas.openxmlformats.org/wordprocessingml/2006/main">
          <w:rFonts w:ascii="Arial" w:cs="Arial" w:eastAsia="Arial" w:hAnsi="Arial"/>
          <w:sz w:val="17"/>
          <w:szCs w:val="17"/>
          <w:color w:val="414956"/>
        </w:rPr>
        <w:t xml:space="preserve"> </w:t>
      </w:r>
      <w:r>
        <w:rPr xmlns:w="http://schemas.openxmlformats.org/wordprocessingml/2006/main">
          <w:rFonts w:ascii="Arial" w:cs="Arial" w:eastAsia="Arial" w:hAnsi="Arial"/>
          <w:sz w:val="17"/>
          <w:szCs w:val="17"/>
          <w:color w:val="414956"/>
        </w:rPr>
        <w:t xml:space="preserve">Κατά συνέπεια, για παράδειγμα, ο εκδότης μπορεί να έχει πρόσβαση μόνο στα Bitcoins που κατατίθενται ως ασφάλεια, ως μέσο για την ικανοποίηση όλων των απαιτήσεων έκδοσης ή πληρωμής που σχετίζονται με το προϊόν.</w:t>
      </w:r>
      <w:r>
        <w:rPr xmlns:w="http://schemas.openxmlformats.org/wordprocessingml/2006/main">
          <w:rFonts w:ascii="Arial" w:cs="Arial" w:eastAsia="Arial" w:hAnsi="Arial"/>
          <w:sz w:val="17"/>
          <w:szCs w:val="17"/>
          <w:color w:val="414956"/>
        </w:rPr>
        <w:t xml:space="preserve"> Αυτό το προϊόν παρέχει στους επενδυτές το δικαίωμα στα κατατεθειμένα Bitcoins ή στα δικαιώματα ασφαλείας που κατέχει ο διαχειριστής τίτλων μέσω του Θεματοφύλακα Πορτοφολιού και μέσω του λογαριασμού τίτλων του εκδότη.</w:t>
      </w:r>
      <w:r>
        <w:rPr xmlns:w="http://schemas.openxmlformats.org/wordprocessingml/2006/main">
          <w:rFonts w:ascii="Arial" w:cs="Arial" w:eastAsia="Arial" w:hAnsi="Arial"/>
          <w:sz w:val="17"/>
          <w:szCs w:val="17"/>
          <w:color w:val="414956"/>
        </w:rPr>
        <w:t xml:space="preserve"> Η εμφάνιση διαφορετικών σεναρίων όσον αφορά αυτά τα Bitcoins και τις απαιτήσεις στα δικαιώματα ασφαλείας μπορεί να επηρεάσει την ικανότητα του εκδότη να εκπληρώσει τις υποχρεώσεις του υπό τις συνθήκες του προϊόντος.</w:t>
      </w:r>
      <w:r>
        <w:rPr xmlns:w="http://schemas.openxmlformats.org/wordprocessingml/2006/main">
          <w:rFonts w:ascii="Arial" w:cs="Arial" w:eastAsia="Arial" w:hAnsi="Arial"/>
          <w:sz w:val="17"/>
          <w:szCs w:val="17"/>
          <w:color w:val="414956"/>
        </w:rPr>
        <w:t xml:space="preserve"> Αν και ο Εκδότης αναλαμβάνει να καταθέσει επαρκή ποσότητα Bitcoins στο Πορτοφόλι Κατάθεσης για να καλύψει όλες τις απαιτήσεις στο πλαίσιο του προϊόντος, υπάρχει κίνδυνος τα Bitcoins που κατατίθενται από τον Εκδότη να μην είναι αρκετά για να ικανοποιήσουν το αίτημα εξαργύρωσης ή πληρωμής σας.</w:t>
      </w:r>
      <w:r>
        <w:rPr xmlns:w="http://schemas.openxmlformats.org/wordprocessingml/2006/main">
          <w:rFonts w:ascii="Arial" w:cs="Arial" w:eastAsia="Arial" w:hAnsi="Arial"/>
          <w:sz w:val="17"/>
          <w:szCs w:val="17"/>
          <w:color w:val="414956"/>
        </w:rPr>
        <w:t xml:space="preserve"> Είναι δυνατή η συνολική απώλεια του επενδεδυμένου κεφαλαίου.</w:t>
      </w:r>
      <w:r>
        <w:rPr xmlns:w="http://schemas.openxmlformats.org/wordprocessingml/2006/main">
          <w:rFonts w:ascii="Arial" w:cs="Arial" w:eastAsia="Arial" w:hAnsi="Arial"/>
          <w:sz w:val="17"/>
          <w:szCs w:val="17"/>
          <w:color w:val="414956"/>
        </w:rPr>
        <w:t xml:space="preserve"> Δεν υπάρχει υποχρέωση για περαιτέρω συνεισφορές.</w:t>
      </w:r>
      <w:r>
        <w:rPr xmlns:w="http://schemas.openxmlformats.org/wordprocessingml/2006/main">
          <w:rFonts w:ascii="Arial" w:cs="Arial" w:eastAsia="Arial" w:hAnsi="Arial"/>
          <w:sz w:val="17"/>
          <w:szCs w:val="17"/>
          <w:color w:val="414956"/>
        </w:rPr>
        <w:t xml:space="preserve"> Το προϊόν δεν αποτελεί κατάθεση και δεν υπόκειται σε συστήματα εγγύησης καταθέσεων ή σε άλλα συστήματα προστασίας.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5357495</wp:posOffset>
            </wp:positionH>
            <wp:positionV relativeFrom="paragraph">
              <wp:posOffset>554355</wp:posOffset>
            </wp:positionV>
            <wp:extent cx="1367790" cy="42926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ectPr>
          <w:pgSz w:w="11900" w:h="16838" w:orient="portrait"/>
          <w:cols w:equalWidth="0" w:num="1">
            <w:col w:w="10600"/>
          </w:cols>
          <w:pgMar w:left="640" w:top="80" w:right="6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414956"/>
        </w:rPr>
        <w:t xml:space="preserve">2/3</w:t>
      </w:r>
    </w:p>
    <w:p>
      <w:pPr>
        <w:sectPr>
          <w:pgSz w:w="11900" w:h="16838" w:orient="portrait"/>
          <w:cols w:equalWidth="0" w:num="1">
            <w:col w:w="10600"/>
          </w:cols>
          <w:pgMar w:left="640" w:top="80" w:right="666" w:bottom="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5969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560310" cy="59690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Φυσική πιστότητα Bitcoin ETP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-405765</wp:posOffset>
            </wp:positionH>
            <wp:positionV relativeFrom="paragraph">
              <wp:posOffset>428625</wp:posOffset>
            </wp:positionV>
            <wp:extent cx="7560310" cy="75653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560310" cy="75653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Ποιο είναι το κόστος;</w:t>
      </w:r>
    </w:p>
    <w:p>
      <w:pPr>
        <w:spacing w:after="0" w:line="67"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8"/>
          <w:szCs w:val="18"/>
          <w:color w:val="414956"/>
        </w:rPr>
        <w:t xml:space="preserve"> Αν ναι, αυτό το άτομο θα σας παρέχει πληροφορίες σχετικά με αυτές τις δαπάνες και θα σας δείξει τον αντίκτυπο που θα έχει όλο το κόστος στην επένδυσή σας με την πάροδο του χρόνου.</w:t>
      </w:r>
    </w:p>
    <w:p>
      <w:pPr>
        <w:spacing w:after="0" w:line="2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Κόστος με την πάροδο του χρόνου</w:t>
      </w:r>
    </w:p>
    <w:p>
      <w:pPr>
        <w:spacing w:after="0" w:line="65" w:lineRule="exact"/>
        <w:rPr>
          <w:sz w:val="20"/>
          <w:szCs w:val="20"/>
          <w:color w:val="auto"/>
        </w:rPr>
      </w:pPr>
    </w:p>
    <w:p>
      <w:pPr xmlns:w="http://schemas.openxmlformats.org/wordprocessingml/2006/main">
        <w:jc w:val="both"/>
        <w:ind w:right="12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8"/>
          <w:szCs w:val="18"/>
          <w:color w:val="414956"/>
        </w:rPr>
        <w:t xml:space="preserve"> Αυτά τα ποσά εξαρτώνται από το πόσο επενδύετε, πόσο καιρό κρατάτε το προϊόν και πόσο καλά το προϊόν κάνει.</w:t>
      </w:r>
      <w:r>
        <w:rPr xmlns:w="http://schemas.openxmlformats.org/wordprocessingml/2006/main">
          <w:rFonts w:ascii="Arial" w:cs="Arial" w:eastAsia="Arial" w:hAnsi="Arial"/>
          <w:sz w:val="18"/>
          <w:szCs w:val="18"/>
          <w:color w:val="414956"/>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Υποθέσαμε ότι:</w:t>
      </w:r>
    </w:p>
    <w:p>
      <w:pPr>
        <w:spacing w:after="0" w:line="5" w:lineRule="exact"/>
        <w:rPr>
          <w:sz w:val="20"/>
          <w:szCs w:val="20"/>
          <w:color w:val="auto"/>
        </w:rPr>
      </w:pPr>
    </w:p>
    <w:p>
      <w:pPr xmlns:w="http://schemas.openxmlformats.org/wordprocessingml/2006/main">
        <w:ind w:right="160" w:firstLine="5"/>
        <w:spacing w:after="0" w:line="230" w:lineRule="auto"/>
        <w:tabs>
          <w:tab w:leader="none" w:pos="180" w:val="left"/>
        </w:tabs>
        <w:numPr>
          <w:ilvl w:val="0"/>
          <w:numId w:val="1"/>
        </w:numPr>
        <w:rPr>
          <w:rFonts w:ascii="Arial" w:cs="Arial" w:eastAsia="Arial" w:hAnsi="Arial"/>
          <w:sz w:val="18"/>
          <w:szCs w:val="18"/>
          <w:color w:val="414956"/>
        </w:rPr>
      </w:pPr>
      <w:r>
        <w:rPr xmlns:w="http://schemas.openxmlformats.org/wordprocessingml/2006/main">
          <w:rFonts w:ascii="Arial" w:cs="Arial" w:eastAsia="Arial" w:hAnsi="Arial"/>
          <w:sz w:val="18"/>
          <w:szCs w:val="18"/>
          <w:color w:val="414956"/>
        </w:rPr>
        <w:t xml:space="preserve">Στο πρώτο έτος θα πάρετε πίσω το ποσό που επενδύσατε (0% ετήσια απόδοση).</w:t>
      </w:r>
      <w:r>
        <w:rPr xmlns:w="http://schemas.openxmlformats.org/wordprocessingml/2006/main">
          <w:rFonts w:ascii="Arial" w:cs="Arial" w:eastAsia="Arial" w:hAnsi="Arial"/>
          <w:sz w:val="18"/>
          <w:szCs w:val="18"/>
          <w:color w:val="414956"/>
        </w:rPr>
        <w:t xml:space="preserve"> </w:t>
      </w:r>
      <w:r>
        <w:rPr xmlns:w="http://schemas.openxmlformats.org/wordprocessingml/2006/main">
          <w:rFonts w:ascii="Arial" w:cs="Arial" w:eastAsia="Arial" w:hAnsi="Arial"/>
          <w:sz w:val="18"/>
          <w:szCs w:val="18"/>
          <w:color w:val="414956"/>
        </w:rPr>
        <w:t xml:space="preserve">Για τις άλλες περιόδους αναμονής έχουμε υποθέσει ότι το προϊόν αποδίδει όπως φαίνεται στο μέτριο σενάριο.</w:t>
      </w:r>
    </w:p>
    <w:p>
      <w:pPr xmlns:w="http://schemas.openxmlformats.org/wordprocessingml/2006/main">
        <w:ind w:left="180" w:hanging="175"/>
        <w:spacing w:after="0" w:line="230" w:lineRule="auto"/>
        <w:tabs>
          <w:tab w:leader="none" w:pos="180" w:val="left"/>
        </w:tabs>
        <w:numPr>
          <w:ilvl w:val="0"/>
          <w:numId w:val="1"/>
        </w:numPr>
        <w:rPr>
          <w:rFonts w:ascii="Arial" w:cs="Arial" w:eastAsia="Arial" w:hAnsi="Arial"/>
          <w:sz w:val="18"/>
          <w:szCs w:val="18"/>
          <w:color w:val="414956"/>
        </w:rPr>
      </w:pPr>
      <w:r>
        <w:rPr xmlns:w="http://schemas.openxmlformats.org/wordprocessingml/2006/main">
          <w:rFonts w:ascii="Arial" w:cs="Arial" w:eastAsia="Arial" w:hAnsi="Arial"/>
          <w:sz w:val="18"/>
          <w:szCs w:val="18"/>
          <w:color w:val="414956"/>
        </w:rPr>
        <w:t xml:space="preserve">Επενδύονται 10.000 ευρώ.</w:t>
      </w:r>
    </w:p>
    <w:p>
      <w:pPr>
        <w:spacing w:after="0" w:line="28" w:lineRule="exact"/>
        <w:rPr>
          <w:sz w:val="20"/>
          <w:szCs w:val="20"/>
          <w:color w:val="auto"/>
        </w:rPr>
      </w:pPr>
    </w:p>
    <w:tbl>
      <w:tblPr>
        <w:tblLayout w:type="fixed"/>
        <w:tblInd w:w="10" w:type="dxa"/>
        <w:tblCellMar>
          <w:top w:w="0" w:type="dxa"/>
          <w:left w:w="0" w:type="dxa"/>
          <w:bottom w:w="0" w:type="dxa"/>
          <w:right w:w="0" w:type="dxa"/>
        </w:tblCellMar>
      </w:tblPr>
      <w:tr>
        <w:trPr>
          <w:trHeight w:val="247"/>
        </w:trPr>
        <w:tc>
          <w:tcPr>
            <w:tcW w:w="3520" w:type="dxa"/>
            <w:vAlign w:val="bottom"/>
            <w:tcBorders>
              <w:left w:val="single" w:sz="8" w:color="808080"/>
              <w:bottom w:val="single" w:sz="8" w:color="006193"/>
              <w:right w:val="single" w:sz="8" w:color="006193"/>
            </w:tcBorders>
            <w:shd w:val="clear" w:color="auto" w:fill="006193"/>
          </w:tcPr>
          <w:p>
            <w:pPr>
              <w:spacing w:after="0"/>
              <w:rPr>
                <w:sz w:val="21"/>
                <w:szCs w:val="21"/>
                <w:color w:val="auto"/>
              </w:rPr>
            </w:pPr>
          </w:p>
        </w:tc>
        <w:tc>
          <w:tcPr>
            <w:tcW w:w="3600" w:type="dxa"/>
            <w:vAlign w:val="bottom"/>
            <w:tcBorders>
              <w:bottom w:val="single" w:sz="8" w:color="006193"/>
              <w:right w:val="single" w:sz="8" w:color="808080"/>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Αν βγείτε μετά από 1 έτος</w:t>
            </w:r>
          </w:p>
        </w:tc>
        <w:tc>
          <w:tcPr>
            <w:tcW w:w="3520" w:type="dxa"/>
            <w:vAlign w:val="bottom"/>
            <w:tcBorders>
              <w:bottom w:val="single" w:sz="8" w:color="006193"/>
              <w:right w:val="single" w:sz="8" w:color="808080"/>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7"/>
              </w:rPr>
              <w:t xml:space="preserve">Αν βγείτε μετά από 6 χρόνια</w:t>
            </w:r>
          </w:p>
        </w:tc>
      </w:tr>
      <w:tr>
        <w:trPr>
          <w:trHeight w:val="224"/>
        </w:trPr>
        <w:tc>
          <w:tcPr>
            <w:tcW w:w="352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Σύνολο δαπανών</w:t>
            </w:r>
          </w:p>
        </w:tc>
        <w:tc>
          <w:tcPr>
            <w:tcW w:w="360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5"/>
              </w:rPr>
              <w:t xml:space="preserve">76 ευρώ</w:t>
            </w:r>
          </w:p>
        </w:tc>
        <w:tc>
          <w:tcPr>
            <w:tcW w:w="352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10.314 ευρώ</w:t>
            </w:r>
          </w:p>
        </w:tc>
      </w:tr>
      <w:tr>
        <w:trPr>
          <w:trHeight w:val="23"/>
        </w:trPr>
        <w:tc>
          <w:tcPr>
            <w:tcW w:w="3520" w:type="dxa"/>
            <w:vAlign w:val="bottom"/>
            <w:tcBorders>
              <w:left w:val="single" w:sz="8" w:color="808080"/>
              <w:bottom w:val="single" w:sz="8" w:color="808080"/>
              <w:right w:val="single" w:sz="8" w:color="808080"/>
            </w:tcBorders>
          </w:tcPr>
          <w:p>
            <w:pPr>
              <w:spacing w:after="0"/>
              <w:rPr>
                <w:sz w:val="2"/>
                <w:szCs w:val="2"/>
                <w:color w:val="auto"/>
              </w:rPr>
            </w:pPr>
          </w:p>
        </w:tc>
        <w:tc>
          <w:tcPr>
            <w:tcW w:w="3600" w:type="dxa"/>
            <w:vAlign w:val="bottom"/>
            <w:tcBorders>
              <w:bottom w:val="single" w:sz="8" w:color="808080"/>
              <w:right w:val="single" w:sz="8" w:color="808080"/>
            </w:tcBorders>
          </w:tcPr>
          <w:p>
            <w:pPr>
              <w:spacing w:after="0"/>
              <w:rPr>
                <w:sz w:val="2"/>
                <w:szCs w:val="2"/>
                <w:color w:val="auto"/>
              </w:rPr>
            </w:pPr>
          </w:p>
        </w:tc>
        <w:tc>
          <w:tcPr>
            <w:tcW w:w="3520" w:type="dxa"/>
            <w:vAlign w:val="bottom"/>
            <w:tcBorders>
              <w:bottom w:val="single" w:sz="8" w:color="808080"/>
              <w:right w:val="single" w:sz="8" w:color="808080"/>
            </w:tcBorders>
          </w:tcPr>
          <w:p>
            <w:pPr>
              <w:spacing w:after="0"/>
              <w:rPr>
                <w:sz w:val="2"/>
                <w:szCs w:val="2"/>
                <w:color w:val="auto"/>
              </w:rPr>
            </w:pPr>
          </w:p>
        </w:tc>
      </w:tr>
      <w:tr>
        <w:trPr>
          <w:trHeight w:val="214"/>
        </w:trPr>
        <w:tc>
          <w:tcPr>
            <w:tcW w:w="352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Επίπτωση του ετήσιου κόστους (*)</w:t>
            </w:r>
          </w:p>
        </w:tc>
        <w:tc>
          <w:tcPr>
            <w:tcW w:w="360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76"/>
              </w:rPr>
              <w:t xml:space="preserve">0,8%</w:t>
            </w:r>
          </w:p>
        </w:tc>
        <w:tc>
          <w:tcPr>
            <w:tcW w:w="352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9"/>
              </w:rPr>
              <w:t xml:space="preserve">1,5% ετησίως</w:t>
            </w:r>
          </w:p>
        </w:tc>
      </w:tr>
      <w:tr>
        <w:trPr>
          <w:trHeight w:val="23"/>
        </w:trPr>
        <w:tc>
          <w:tcPr>
            <w:tcW w:w="352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3600" w:type="dxa"/>
            <w:vAlign w:val="bottom"/>
            <w:tcBorders>
              <w:bottom w:val="single" w:sz="8" w:color="808080"/>
              <w:right w:val="single" w:sz="8" w:color="808080"/>
            </w:tcBorders>
          </w:tcPr>
          <w:p>
            <w:pPr>
              <w:spacing w:after="0" w:line="20" w:lineRule="exact"/>
              <w:rPr>
                <w:sz w:val="1"/>
                <w:szCs w:val="1"/>
                <w:color w:val="auto"/>
              </w:rPr>
            </w:pPr>
          </w:p>
        </w:tc>
        <w:tc>
          <w:tcPr>
            <w:tcW w:w="3520" w:type="dxa"/>
            <w:vAlign w:val="bottom"/>
            <w:tcBorders>
              <w:bottom w:val="single" w:sz="8" w:color="808080"/>
              <w:right w:val="single" w:sz="8" w:color="808080"/>
            </w:tcBorders>
          </w:tcPr>
          <w:p>
            <w:pPr>
              <w:spacing w:after="0" w:line="20" w:lineRule="exact"/>
              <w:rPr>
                <w:sz w:val="1"/>
                <w:szCs w:val="1"/>
                <w:color w:val="auto"/>
              </w:rPr>
            </w:pPr>
          </w:p>
        </w:tc>
      </w:tr>
    </w:tbl>
    <w:p>
      <w:pPr>
        <w:spacing w:after="0" w:line="120"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 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8"/>
          <w:szCs w:val="18"/>
          <w:color w:val="414956"/>
        </w:rPr>
        <w:t xml:space="preserve"> Για παράδειγμα, δείχνει ότι αν βγείτε στη συνιστώμενη περίοδο αναμονής η μέση απόδοση ανά έτος προβλέπεται να είναι 104,7% πριν από το κόστος και 103,2% μετά το κόστος.</w:t>
      </w:r>
    </w:p>
    <w:p>
      <w:pPr>
        <w:spacing w:after="0" w:line="110"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Σύνθεση των εξόδων</w:t>
      </w:r>
    </w:p>
    <w:p>
      <w:pPr>
        <w:spacing w:after="0" w:line="29"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2860" w:type="dxa"/>
            <w:vAlign w:val="bottom"/>
            <w:tcBorders>
              <w:bottom w:val="single" w:sz="8" w:color="006193"/>
              <w:right w:val="single" w:sz="8" w:color="006193"/>
            </w:tcBorders>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Εφάπαξ κόστος κατά την είσοδο ή την έξοδο</w:t>
            </w:r>
          </w:p>
        </w:tc>
        <w:tc>
          <w:tcPr>
            <w:tcW w:w="4920" w:type="dxa"/>
            <w:vAlign w:val="bottom"/>
            <w:tcBorders>
              <w:bottom w:val="single" w:sz="8" w:color="006193"/>
              <w:right w:val="single" w:sz="8" w:color="808080"/>
            </w:tcBorders>
            <w:shd w:val="clear" w:color="auto" w:fill="006193"/>
          </w:tcPr>
          <w:p>
            <w:pPr>
              <w:spacing w:after="0"/>
              <w:rPr>
                <w:sz w:val="21"/>
                <w:szCs w:val="21"/>
                <w:color w:val="auto"/>
              </w:rPr>
            </w:pPr>
          </w:p>
        </w:tc>
        <w:tc>
          <w:tcPr>
            <w:tcW w:w="2840" w:type="dxa"/>
            <w:vAlign w:val="bottom"/>
            <w:tcBorders>
              <w:bottom w:val="single" w:sz="8" w:color="006193"/>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Αν βγείτε μετά από 1 έτος</w:t>
            </w:r>
          </w:p>
        </w:tc>
        <w:tc>
          <w:tcPr>
            <w:tcW w:w="0" w:type="dxa"/>
            <w:vAlign w:val="bottom"/>
          </w:tcPr>
          <w:p>
            <w:pPr>
              <w:spacing w:after="0"/>
              <w:rPr>
                <w:sz w:val="1"/>
                <w:szCs w:val="1"/>
                <w:color w:val="auto"/>
              </w:rPr>
            </w:pPr>
          </w:p>
        </w:tc>
      </w:tr>
      <w:tr>
        <w:trPr>
          <w:trHeight w:val="214"/>
        </w:trPr>
        <w:tc>
          <w:tcPr>
            <w:tcW w:w="2860" w:type="dxa"/>
            <w:vAlign w:val="bottom"/>
            <w:tcBorders>
              <w:top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Κόστος εισόδου</w:t>
            </w:r>
          </w:p>
        </w:tc>
        <w:tc>
          <w:tcPr>
            <w:tcW w:w="4920" w:type="dxa"/>
            <w:vAlign w:val="bottom"/>
            <w:tcBorders>
              <w:top w:val="single" w:sz="8" w:color="808080"/>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Δεν χρεώνουμε ένα τέλος εισόδου.</w:t>
            </w:r>
          </w:p>
        </w:tc>
        <w:tc>
          <w:tcPr>
            <w:tcW w:w="2840" w:type="dxa"/>
            <w:vAlign w:val="bottom"/>
            <w:tcBorders>
              <w:top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0 ΕΥΡΩ</w:t>
            </w:r>
          </w:p>
        </w:tc>
        <w:tc>
          <w:tcPr>
            <w:tcW w:w="0" w:type="dxa"/>
            <w:vAlign w:val="bottom"/>
          </w:tcPr>
          <w:p>
            <w:pPr>
              <w:spacing w:after="0"/>
              <w:rPr>
                <w:sz w:val="1"/>
                <w:szCs w:val="1"/>
                <w:color w:val="auto"/>
              </w:rPr>
            </w:pPr>
          </w:p>
        </w:tc>
      </w:tr>
      <w:tr>
        <w:trPr>
          <w:trHeight w:val="23"/>
        </w:trPr>
        <w:tc>
          <w:tcPr>
            <w:tcW w:w="2860" w:type="dxa"/>
            <w:vAlign w:val="bottom"/>
            <w:tcBorders>
              <w:bottom w:val="single" w:sz="8" w:color="808080"/>
              <w:right w:val="single" w:sz="8" w:color="808080"/>
            </w:tcBorders>
          </w:tcPr>
          <w:p>
            <w:pPr>
              <w:spacing w:after="0" w:line="20" w:lineRule="exact"/>
              <w:rPr>
                <w:sz w:val="1"/>
                <w:szCs w:val="1"/>
                <w:color w:val="auto"/>
              </w:rPr>
            </w:pPr>
          </w:p>
        </w:tc>
        <w:tc>
          <w:tcPr>
            <w:tcW w:w="4920" w:type="dxa"/>
            <w:vAlign w:val="bottom"/>
            <w:tcBorders>
              <w:bottom w:val="single" w:sz="8" w:color="808080"/>
              <w:right w:val="single" w:sz="8" w:color="808080"/>
            </w:tcBorders>
          </w:tcPr>
          <w:p>
            <w:pPr>
              <w:spacing w:after="0" w:line="20" w:lineRule="exact"/>
              <w:rPr>
                <w:sz w:val="1"/>
                <w:szCs w:val="1"/>
                <w:color w:val="auto"/>
              </w:rPr>
            </w:pPr>
          </w:p>
        </w:tc>
        <w:tc>
          <w:tcPr>
            <w:tcW w:w="2840" w:type="dxa"/>
            <w:vAlign w:val="bottom"/>
            <w:tcBorders>
              <w:bottom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02"/>
        </w:trPr>
        <w:tc>
          <w:tcPr>
            <w:tcW w:w="2860" w:type="dxa"/>
            <w:vAlign w:val="bottom"/>
            <w:tcBorders>
              <w:right w:val="single" w:sz="8" w:color="808080"/>
            </w:tcBorders>
          </w:tcPr>
          <w:p>
            <w:pPr>
              <w:spacing w:after="0"/>
              <w:rPr>
                <w:sz w:val="17"/>
                <w:szCs w:val="17"/>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7"/>
              </w:rPr>
              <w:t xml:space="preserve">Αν ο κάτοχος του ομολόγου απαιτεί εξαργύρωση απευθείας από τον εκδότη με βάση τους όρους</w:t>
            </w:r>
          </w:p>
        </w:tc>
        <w:tc>
          <w:tcPr>
            <w:tcW w:w="2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7"/>
        </w:trPr>
        <w:tc>
          <w:tcPr>
            <w:tcW w:w="2860" w:type="dxa"/>
            <w:vAlign w:val="bottom"/>
            <w:tcBorders>
              <w:right w:val="single" w:sz="8" w:color="808080"/>
            </w:tcBorders>
          </w:tcPr>
          <w:p>
            <w:pPr xmlns:w="http://schemas.openxmlformats.org/wordprocessingml/2006/main">
              <w:ind w:left="40"/>
              <w:spacing w:after="0" w:line="178" w:lineRule="exact"/>
              <w:rPr>
                <w:sz w:val="20"/>
                <w:szCs w:val="20"/>
                <w:color w:val="auto"/>
              </w:rPr>
            </w:pPr>
            <w:r>
              <w:rPr xmlns:w="http://schemas.openxmlformats.org/wordprocessingml/2006/main">
                <w:rFonts w:ascii="Arial" w:cs="Arial" w:eastAsia="Arial" w:hAnsi="Arial"/>
                <w:sz w:val="16"/>
                <w:szCs w:val="16"/>
                <w:b w:val="1"/>
                <w:bCs w:val="1"/>
                <w:color w:val="414956"/>
              </w:rPr>
              <w:t xml:space="preserve">Δαπάνες εξόδου</w:t>
            </w:r>
          </w:p>
        </w:tc>
        <w:tc>
          <w:tcPr>
            <w:tcW w:w="4920" w:type="dxa"/>
            <w:vAlign w:val="bottom"/>
            <w:tcBorders>
              <w:right w:val="single" w:sz="8" w:color="808080"/>
            </w:tcBorders>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rPr>
              <w:t xml:space="preserve">του Ενημερωτικού Δελτίου, ο εκδότης μπορεί να χρεώσει προμήθεια μέχρι 5,00% του</w:t>
            </w:r>
          </w:p>
        </w:tc>
        <w:tc>
          <w:tcPr>
            <w:tcW w:w="2840" w:type="dxa"/>
            <w:vAlign w:val="bottom"/>
          </w:tcPr>
          <w:p>
            <w:pPr xmlns:w="http://schemas.openxmlformats.org/wordprocessingml/2006/main">
              <w:jc w:val="center"/>
              <w:spacing w:after="0" w:line="178" w:lineRule="exact"/>
              <w:rPr>
                <w:sz w:val="20"/>
                <w:szCs w:val="20"/>
                <w:color w:val="auto"/>
              </w:rPr>
            </w:pPr>
            <w:r>
              <w:rPr xmlns:w="http://schemas.openxmlformats.org/wordprocessingml/2006/main">
                <w:rFonts w:ascii="Arial" w:cs="Arial" w:eastAsia="Arial" w:hAnsi="Arial"/>
                <w:sz w:val="16"/>
                <w:szCs w:val="16"/>
                <w:color w:val="414956"/>
                <w:w w:val="84"/>
              </w:rPr>
              <w:t xml:space="preserve">0 ΕΥΡΩ</w:t>
            </w:r>
          </w:p>
        </w:tc>
        <w:tc>
          <w:tcPr>
            <w:tcW w:w="0" w:type="dxa"/>
            <w:vAlign w:val="bottom"/>
          </w:tcPr>
          <w:p>
            <w:pPr>
              <w:spacing w:after="0"/>
              <w:rPr>
                <w:sz w:val="1"/>
                <w:szCs w:val="1"/>
                <w:color w:val="auto"/>
              </w:rPr>
            </w:pPr>
          </w:p>
        </w:tc>
      </w:tr>
      <w:tr>
        <w:trPr>
          <w:trHeight w:val="189"/>
        </w:trPr>
        <w:tc>
          <w:tcPr>
            <w:tcW w:w="2860" w:type="dxa"/>
            <w:vAlign w:val="bottom"/>
            <w:tcBorders>
              <w:right w:val="single" w:sz="8" w:color="808080"/>
            </w:tcBorders>
          </w:tcPr>
          <w:p>
            <w:pPr>
              <w:spacing w:after="0"/>
              <w:rPr>
                <w:sz w:val="16"/>
                <w:szCs w:val="16"/>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Δικαίωμα Cryptocurrency για κάθε ομόλογο.</w:t>
            </w:r>
          </w:p>
        </w:tc>
        <w:tc>
          <w:tcPr>
            <w:tcW w:w="2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42"/>
        </w:trPr>
        <w:tc>
          <w:tcPr>
            <w:tcW w:w="2860" w:type="dxa"/>
            <w:vAlign w:val="bottom"/>
            <w:tcBorders>
              <w:bottom w:val="single" w:sz="8" w:color="006193"/>
              <w:right w:val="single" w:sz="8" w:color="006193"/>
            </w:tcBorders>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Τρέχουσες δαπάνες που αναλαμβάνονται ετησίως</w:t>
            </w:r>
          </w:p>
        </w:tc>
        <w:tc>
          <w:tcPr>
            <w:tcW w:w="4920" w:type="dxa"/>
            <w:vAlign w:val="bottom"/>
            <w:tcBorders>
              <w:bottom w:val="single" w:sz="8" w:color="006193"/>
              <w:right w:val="single" w:sz="8" w:color="006193"/>
            </w:tcBorders>
            <w:shd w:val="clear" w:color="auto" w:fill="006193"/>
          </w:tcPr>
          <w:p>
            <w:pPr>
              <w:spacing w:after="0"/>
              <w:rPr>
                <w:sz w:val="20"/>
                <w:szCs w:val="20"/>
                <w:color w:val="auto"/>
              </w:rPr>
            </w:pPr>
          </w:p>
        </w:tc>
        <w:tc>
          <w:tcPr>
            <w:tcW w:w="2840" w:type="dxa"/>
            <w:vAlign w:val="bottom"/>
            <w:tcBorders>
              <w:bottom w:val="single" w:sz="8" w:color="006193"/>
            </w:tcBorders>
            <w:shd w:val="clear" w:color="auto" w:fill="006193"/>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860" w:type="dxa"/>
            <w:vAlign w:val="bottom"/>
            <w:tcBorders>
              <w:top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Έξοδα διαχείρισης και λοιπά</w:t>
            </w:r>
          </w:p>
        </w:tc>
        <w:tc>
          <w:tcPr>
            <w:tcW w:w="4920" w:type="dxa"/>
            <w:vAlign w:val="bottom"/>
            <w:tcBorders>
              <w:top w:val="single" w:sz="8" w:color="808080"/>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3"/>
              </w:rPr>
              <w:t xml:space="preserve">0,75% της αξίας της επένδυσής σας ανά έτος.</w:t>
            </w:r>
            <w:r>
              <w:rPr xmlns:w="http://schemas.openxmlformats.org/wordprocessingml/2006/main">
                <w:rFonts w:ascii="Arial" w:cs="Arial" w:eastAsia="Arial" w:hAnsi="Arial"/>
                <w:sz w:val="16"/>
                <w:szCs w:val="16"/>
                <w:color w:val="414956"/>
                <w:w w:val="93"/>
              </w:rPr>
              <w:t xml:space="preserve"> Αυτό βασίζεται σε εκτίμηση</w:t>
            </w:r>
          </w:p>
        </w:tc>
        <w:tc>
          <w:tcPr>
            <w:tcW w:w="2840" w:type="dxa"/>
            <w:vAlign w:val="bottom"/>
            <w:tcBorders>
              <w:top w:val="single" w:sz="8" w:color="808080"/>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5"/>
              </w:rPr>
              <w:t xml:space="preserve">76 ευρώ</w:t>
            </w:r>
          </w:p>
        </w:tc>
        <w:tc>
          <w:tcPr>
            <w:tcW w:w="0" w:type="dxa"/>
            <w:vAlign w:val="bottom"/>
          </w:tcPr>
          <w:p>
            <w:pPr>
              <w:spacing w:after="0"/>
              <w:rPr>
                <w:sz w:val="1"/>
                <w:szCs w:val="1"/>
                <w:color w:val="auto"/>
              </w:rPr>
            </w:pPr>
          </w:p>
        </w:tc>
      </w:tr>
      <w:tr>
        <w:trPr>
          <w:trHeight w:val="101"/>
        </w:trPr>
        <w:tc>
          <w:tcPr>
            <w:tcW w:w="2860" w:type="dxa"/>
            <w:vAlign w:val="bottom"/>
            <w:tcBorders>
              <w:right w:val="single" w:sz="8" w:color="80808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διοικητικές ή λειτουργικές δαπάνες</w:t>
            </w:r>
          </w:p>
        </w:tc>
        <w:tc>
          <w:tcPr>
            <w:tcW w:w="49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σχετικά με τις πραγματικές δαπάνες κατά τη διάρκεια του τελευταίου έτους.</w:t>
            </w:r>
          </w:p>
        </w:tc>
        <w:tc>
          <w:tcPr>
            <w:tcW w:w="28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88"/>
        </w:trPr>
        <w:tc>
          <w:tcPr>
            <w:tcW w:w="2860" w:type="dxa"/>
            <w:vAlign w:val="bottom"/>
            <w:tcBorders>
              <w:right w:val="single" w:sz="8" w:color="808080"/>
            </w:tcBorders>
            <w:vMerge w:val="continue"/>
          </w:tcPr>
          <w:p>
            <w:pPr>
              <w:spacing w:after="0"/>
              <w:rPr>
                <w:sz w:val="7"/>
                <w:szCs w:val="7"/>
                <w:color w:val="auto"/>
              </w:rPr>
            </w:pPr>
          </w:p>
        </w:tc>
        <w:tc>
          <w:tcPr>
            <w:tcW w:w="4920" w:type="dxa"/>
            <w:vAlign w:val="bottom"/>
            <w:tcBorders>
              <w:right w:val="single" w:sz="8" w:color="808080"/>
            </w:tcBorders>
            <w:vMerge w:val="continue"/>
          </w:tcPr>
          <w:p>
            <w:pPr>
              <w:spacing w:after="0"/>
              <w:rPr>
                <w:sz w:val="7"/>
                <w:szCs w:val="7"/>
                <w:color w:val="auto"/>
              </w:rPr>
            </w:pPr>
          </w:p>
        </w:tc>
        <w:tc>
          <w:tcPr>
            <w:tcW w:w="28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02"/>
        </w:trPr>
        <w:tc>
          <w:tcPr>
            <w:tcW w:w="2860" w:type="dxa"/>
            <w:vAlign w:val="bottom"/>
            <w:tcBorders>
              <w:right w:val="single" w:sz="8" w:color="808080"/>
            </w:tcBorders>
          </w:tcPr>
          <w:p>
            <w:pPr>
              <w:spacing w:after="0"/>
              <w:rPr>
                <w:sz w:val="17"/>
                <w:szCs w:val="17"/>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3"/>
              </w:rPr>
              <w:t xml:space="preserve">0,00% της αξίας της επένδυσής σας ετησίως.</w:t>
            </w:r>
            <w:r>
              <w:rPr xmlns:w="http://schemas.openxmlformats.org/wordprocessingml/2006/main">
                <w:rFonts w:ascii="Arial" w:cs="Arial" w:eastAsia="Arial" w:hAnsi="Arial"/>
                <w:sz w:val="16"/>
                <w:szCs w:val="16"/>
                <w:color w:val="414956"/>
                <w:w w:val="93"/>
              </w:rPr>
              <w:t xml:space="preserve"> Αυτό είναι μια εκτίμηση</w:t>
            </w:r>
          </w:p>
        </w:tc>
        <w:tc>
          <w:tcPr>
            <w:tcW w:w="2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7"/>
        </w:trPr>
        <w:tc>
          <w:tcPr>
            <w:tcW w:w="2860" w:type="dxa"/>
            <w:vAlign w:val="bottom"/>
            <w:tcBorders>
              <w:right w:val="single" w:sz="8" w:color="80808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Κόστος συναλλαγής</w:t>
            </w:r>
          </w:p>
        </w:tc>
        <w:tc>
          <w:tcPr>
            <w:tcW w:w="4920" w:type="dxa"/>
            <w:vAlign w:val="bottom"/>
            <w:tcBorders>
              <w:right w:val="single" w:sz="8" w:color="808080"/>
            </w:tcBorders>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w w:val="96"/>
              </w:rPr>
              <w:t xml:space="preserve">κόστος που προκύπτει όταν αγοράζουμε και πωλούμε τις υποκείμενες επενδύσεις</w:t>
            </w:r>
          </w:p>
        </w:tc>
        <w:tc>
          <w:tcPr>
            <w:tcW w:w="28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0 ΕΥΡΩ</w:t>
            </w:r>
          </w:p>
        </w:tc>
        <w:tc>
          <w:tcPr>
            <w:tcW w:w="0" w:type="dxa"/>
            <w:vAlign w:val="bottom"/>
          </w:tcPr>
          <w:p>
            <w:pPr>
              <w:spacing w:after="0"/>
              <w:rPr>
                <w:sz w:val="1"/>
                <w:szCs w:val="1"/>
                <w:color w:val="auto"/>
              </w:rPr>
            </w:pPr>
          </w:p>
        </w:tc>
      </w:tr>
      <w:tr>
        <w:trPr>
          <w:trHeight w:val="101"/>
        </w:trPr>
        <w:tc>
          <w:tcPr>
            <w:tcW w:w="2860" w:type="dxa"/>
            <w:vAlign w:val="bottom"/>
            <w:tcBorders>
              <w:right w:val="single" w:sz="8" w:color="808080"/>
            </w:tcBorders>
            <w:vMerge w:val="continue"/>
          </w:tcPr>
          <w:p>
            <w:pPr>
              <w:spacing w:after="0"/>
              <w:rPr>
                <w:sz w:val="8"/>
                <w:szCs w:val="8"/>
                <w:color w:val="auto"/>
              </w:rPr>
            </w:pPr>
          </w:p>
        </w:tc>
        <w:tc>
          <w:tcPr>
            <w:tcW w:w="4920" w:type="dxa"/>
            <w:vAlign w:val="bottom"/>
            <w:tcBorders>
              <w:right w:val="single" w:sz="8" w:color="808080"/>
            </w:tcBorders>
            <w:vMerge w:val="restart"/>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w w:val="99"/>
              </w:rPr>
              <w:t xml:space="preserve">προϊόν.</w:t>
            </w:r>
            <w:r>
              <w:rPr xmlns:w="http://schemas.openxmlformats.org/wordprocessingml/2006/main">
                <w:rFonts w:ascii="Arial" w:cs="Arial" w:eastAsia="Arial" w:hAnsi="Arial"/>
                <w:sz w:val="16"/>
                <w:szCs w:val="16"/>
                <w:color w:val="414956"/>
                <w:w w:val="99"/>
              </w:rPr>
              <w:t xml:space="preserve"> Το πραγματικό ποσό θα ποικίλει ανάλογα με το πόσο αγοράζουμε</w:t>
            </w:r>
          </w:p>
        </w:tc>
        <w:tc>
          <w:tcPr>
            <w:tcW w:w="28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76"/>
        </w:trPr>
        <w:tc>
          <w:tcPr>
            <w:tcW w:w="2860" w:type="dxa"/>
            <w:vAlign w:val="bottom"/>
            <w:tcBorders>
              <w:right w:val="single" w:sz="8" w:color="808080"/>
            </w:tcBorders>
          </w:tcPr>
          <w:p>
            <w:pPr>
              <w:spacing w:after="0"/>
              <w:rPr>
                <w:sz w:val="6"/>
                <w:szCs w:val="6"/>
                <w:color w:val="auto"/>
              </w:rPr>
            </w:pPr>
          </w:p>
        </w:tc>
        <w:tc>
          <w:tcPr>
            <w:tcW w:w="4920" w:type="dxa"/>
            <w:vAlign w:val="bottom"/>
            <w:tcBorders>
              <w:right w:val="single" w:sz="8" w:color="808080"/>
            </w:tcBorders>
            <w:vMerge w:val="continue"/>
          </w:tcPr>
          <w:p>
            <w:pPr>
              <w:spacing w:after="0"/>
              <w:rPr>
                <w:sz w:val="6"/>
                <w:szCs w:val="6"/>
                <w:color w:val="auto"/>
              </w:rPr>
            </w:pPr>
          </w:p>
        </w:tc>
        <w:tc>
          <w:tcPr>
            <w:tcW w:w="28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860" w:type="dxa"/>
            <w:vAlign w:val="bottom"/>
            <w:tcBorders>
              <w:right w:val="single" w:sz="8" w:color="808080"/>
            </w:tcBorders>
          </w:tcPr>
          <w:p>
            <w:pPr>
              <w:spacing w:after="0"/>
              <w:rPr>
                <w:sz w:val="16"/>
                <w:szCs w:val="16"/>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και να πουλήσει.</w:t>
            </w:r>
          </w:p>
        </w:tc>
        <w:tc>
          <w:tcPr>
            <w:tcW w:w="2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13"/>
        </w:trPr>
        <w:tc>
          <w:tcPr>
            <w:tcW w:w="7780" w:type="dxa"/>
            <w:vAlign w:val="bottom"/>
            <w:tcBorders>
              <w:right w:val="single" w:sz="8" w:color="006193"/>
            </w:tcBorders>
            <w:gridSpan w:val="2"/>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Παρεμπίπτοντα έξοδα που αναλαμβάνονται υπό ειδικές συνθήκες</w:t>
            </w:r>
          </w:p>
        </w:tc>
        <w:tc>
          <w:tcPr>
            <w:tcW w:w="2840" w:type="dxa"/>
            <w:vAlign w:val="bottom"/>
            <w:shd w:val="clear" w:color="auto" w:fill="006193"/>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2860" w:type="dxa"/>
            <w:vAlign w:val="bottom"/>
            <w:tcBorders>
              <w:right w:val="single" w:sz="8" w:color="006193"/>
            </w:tcBorders>
            <w:shd w:val="clear" w:color="auto" w:fill="006193"/>
          </w:tcPr>
          <w:p>
            <w:pPr>
              <w:spacing w:after="0"/>
              <w:rPr>
                <w:sz w:val="2"/>
                <w:szCs w:val="2"/>
                <w:color w:val="auto"/>
              </w:rPr>
            </w:pPr>
          </w:p>
        </w:tc>
        <w:tc>
          <w:tcPr>
            <w:tcW w:w="4920" w:type="dxa"/>
            <w:vAlign w:val="bottom"/>
            <w:tcBorders>
              <w:right w:val="single" w:sz="8" w:color="006193"/>
            </w:tcBorders>
            <w:shd w:val="clear" w:color="auto" w:fill="006193"/>
          </w:tcPr>
          <w:p>
            <w:pPr>
              <w:spacing w:after="0"/>
              <w:rPr>
                <w:sz w:val="2"/>
                <w:szCs w:val="2"/>
                <w:color w:val="auto"/>
              </w:rPr>
            </w:pPr>
          </w:p>
        </w:tc>
        <w:tc>
          <w:tcPr>
            <w:tcW w:w="2840" w:type="dxa"/>
            <w:vAlign w:val="bottom"/>
            <w:shd w:val="clear" w:color="auto" w:fill="006193"/>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40" w:lineRule="exact"/>
        <w:rPr>
          <w:sz w:val="20"/>
          <w:szCs w:val="20"/>
          <w:color w:val="auto"/>
        </w:rPr>
      </w:pPr>
    </w:p>
    <w:p>
      <w:pPr>
        <w:sectPr>
          <w:pgSz w:w="11900" w:h="16838" w:orient="portrait"/>
          <w:cols w:equalWidth="0" w:num="1">
            <w:col w:w="10600"/>
          </w:cols>
          <w:pgMar w:left="640" w:top="80" w:right="666" w:bottom="0" w:gutter="0" w:footer="0" w:header="0"/>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414956"/>
        </w:rPr>
        <w:t xml:space="preserve">Τέλη εκτέλεσης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414956"/>
        </w:rPr>
        <w:t xml:space="preserve">Δεν υπάρχει χρέωση απόδοσης για αυτό το προϊόν.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414956"/>
        </w:rPr>
        <w:t xml:space="preserve">0 ΕΥΡΩ</w:t>
      </w:r>
    </w:p>
    <w:p>
      <w:pPr>
        <w:spacing w:after="0" w:line="211" w:lineRule="exact"/>
        <w:rPr>
          <w:sz w:val="20"/>
          <w:szCs w:val="20"/>
          <w:color w:val="auto"/>
        </w:rPr>
      </w:pPr>
    </w:p>
    <w:p>
      <w:pPr>
        <w:sectPr>
          <w:pgSz w:w="11900" w:h="16838" w:orient="portrait"/>
          <w:cols w:equalWidth="0" w:num="3">
            <w:col w:w="2160" w:space="720"/>
            <w:col w:w="5380" w:space="720"/>
            <w:col w:w="1620"/>
          </w:cols>
          <w:pgMar w:left="640" w:top="80" w:right="666" w:bottom="0" w:gutter="0" w:footer="0" w:header="0"/>
          <w:type w:val="continuous"/>
        </w:sectPr>
      </w:pPr>
    </w:p>
    <w:p>
      <w:pPr>
        <w:spacing w:after="0" w:line="8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Πόσο καιρό θα πρέπει να το κρατήσω και μπορώ να βγάλω χρήματα νωρίς;</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Συνιστώμενη περίοδος διατήρησης:</w:t>
      </w:r>
      <w:r>
        <w:rPr xmlns:w="http://schemas.openxmlformats.org/wordprocessingml/2006/main">
          <w:rFonts w:ascii="Arial" w:cs="Arial" w:eastAsia="Arial" w:hAnsi="Arial"/>
          <w:sz w:val="20"/>
          <w:szCs w:val="20"/>
          <w:b w:val="1"/>
          <w:bCs w:val="1"/>
          <w:color w:val="B72F2A"/>
        </w:rPr>
        <w:t xml:space="preserve"> 6 χρόνια</w:t>
      </w:r>
    </w:p>
    <w:p>
      <w:pPr>
        <w:spacing w:after="0" w:line="30" w:lineRule="exact"/>
        <w:rPr>
          <w:sz w:val="20"/>
          <w:szCs w:val="20"/>
          <w:color w:val="auto"/>
        </w:rPr>
      </w:pPr>
    </w:p>
    <w:p>
      <w:pPr xmlns:w="http://schemas.openxmlformats.org/wordprocessingml/2006/main">
        <w:jc w:val="both"/>
        <w:ind w:right="3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Η συνιστώμενη περίοδος αναμονής βασίζεται στην αξιολόγησή μας σχετικά με τα χαρακτηριστικά κινδύνου και ανταμοιβής και το κόστος του προϊόντος.</w:t>
      </w:r>
      <w:r>
        <w:rPr xmlns:w="http://schemas.openxmlformats.org/wordprocessingml/2006/main">
          <w:rFonts w:ascii="Arial" w:cs="Arial" w:eastAsia="Arial" w:hAnsi="Arial"/>
          <w:sz w:val="18"/>
          <w:szCs w:val="18"/>
          <w:color w:val="414956"/>
        </w:rPr>
        <w:t xml:space="preserve"> Ωστόσο, λόγω της εγγενούς μεταβλητότητας των επενδυτών Bitcoin θα πρέπει να παρακολουθεί συνεχώς την αξία του προϊόντος.</w:t>
      </w:r>
    </w:p>
    <w:p>
      <w:pPr xmlns:w="http://schemas.openxmlformats.org/wordprocessingml/2006/main">
        <w:jc w:val="both"/>
        <w:ind w:right="3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Χρονοδιάγραμμα παραγγελίας:</w:t>
      </w:r>
      <w:r>
        <w:rPr xmlns:w="http://schemas.openxmlformats.org/wordprocessingml/2006/main">
          <w:rFonts w:ascii="Arial" w:cs="Arial" w:eastAsia="Arial" w:hAnsi="Arial"/>
          <w:sz w:val="18"/>
          <w:szCs w:val="18"/>
          <w:color w:val="414956"/>
        </w:rPr>
        <w:t xml:space="preserve"> Οι επενδυτές μπορούν να πωλήσουν το προϊόν απευθείας στη ρυθμιζόμενη αγορά στην οποία είναι εισηγμένο.</w:t>
      </w:r>
      <w:r>
        <w:rPr xmlns:w="http://schemas.openxmlformats.org/wordprocessingml/2006/main">
          <w:rFonts w:ascii="Arial" w:cs="Arial" w:eastAsia="Arial" w:hAnsi="Arial"/>
          <w:sz w:val="18"/>
          <w:szCs w:val="18"/>
          <w:color w:val="414956"/>
        </w:rPr>
        <w:t xml:space="preserve"> Μπορείτε επίσης να πωλήσετε το προϊόν εκτός χρηματιστηρίου υποβάλλοντας αίτηση εξαργύρωσης στο σημείο πρόσβασης και παραδίδοντας το προϊόν σε αυτό δωρεάν, σύμφωνα με τους όρους του ενημερωτικού δελτίου.</w:t>
      </w:r>
      <w:r>
        <w:rPr xmlns:w="http://schemas.openxmlformats.org/wordprocessingml/2006/main">
          <w:rFonts w:ascii="Arial" w:cs="Arial" w:eastAsia="Arial" w:hAnsi="Arial"/>
          <w:sz w:val="18"/>
          <w:szCs w:val="18"/>
          <w:color w:val="414956"/>
        </w:rPr>
        <w:t xml:space="preserve"> Μετά την εξαργύρωση, θα λάβετε 0.0001 Bitcoins ανά μονάδα, μείον τα δεδουλευμένα έξοδα διαχείρισης 0.75% ετησίως.</w:t>
      </w:r>
      <w:r>
        <w:rPr xmlns:w="http://schemas.openxmlformats.org/wordprocessingml/2006/main">
          <w:rFonts w:ascii="Arial" w:cs="Arial" w:eastAsia="Arial" w:hAnsi="Arial"/>
          <w:sz w:val="18"/>
          <w:szCs w:val="18"/>
          <w:color w:val="414956"/>
        </w:rPr>
        <w:t xml:space="preserve"> όπως περιγράφεται ανωτέρω.</w:t>
      </w:r>
    </w:p>
    <w:p>
      <w:pPr>
        <w:spacing w:after="0" w:line="30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Πώς μπορώ να παραπονεθώ;</w:t>
      </w:r>
    </w:p>
    <w:p>
      <w:pPr>
        <w:spacing w:after="0" w:line="30" w:lineRule="exact"/>
        <w:rPr>
          <w:sz w:val="20"/>
          <w:szCs w:val="20"/>
          <w:color w:val="auto"/>
        </w:rPr>
      </w:pPr>
    </w:p>
    <w:p>
      <w:pPr xmlns:w="http://schemas.openxmlformats.org/wordprocessingml/2006/main">
        <w:jc w:val="both"/>
        <w:ind w:right="50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Αν επιθυμείτε να υποβάλετε καταγγελία σχετικά με αυτό το προϊόν, παρακαλούμε γράψτε στη διεύθυνση Fidelity Exchange Trading Products GmbH, Hohe Bleichen 18, 20354 Hamburg, Germany.</w:t>
      </w:r>
      <w:r>
        <w:rPr xmlns:w="http://schemas.openxmlformats.org/wordprocessingml/2006/main">
          <w:rFonts w:ascii="Arial" w:cs="Arial" w:eastAsia="Arial" w:hAnsi="Arial"/>
          <w:sz w:val="18"/>
          <w:szCs w:val="18"/>
          <w:color w:val="414956"/>
        </w:rPr>
        <w:t xml:space="preserve"> Για οποιαδήποτε συμμόρφωση σχετικά με την πώληση και τη διανομή του προϊόντος, επικοινωνήστε απευθείας με τον διαμεσολαβητή σας για τη διαδικασία παραπόνων.</w:t>
      </w:r>
    </w:p>
    <w:p>
      <w:pPr>
        <w:spacing w:after="0" w:line="15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Άλλες σχετικές πληροφορίες</w:t>
      </w:r>
    </w:p>
    <w:p>
      <w:pPr>
        <w:spacing w:after="0" w:line="30" w:lineRule="exact"/>
        <w:rPr>
          <w:sz w:val="20"/>
          <w:szCs w:val="20"/>
          <w:color w:val="auto"/>
        </w:rPr>
      </w:pPr>
    </w:p>
    <w:p>
      <w:pPr xmlns:w="http://schemas.openxmlformats.org/wordprocessingml/2006/main">
        <w:jc w:val="both"/>
        <w:ind w:right="28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Μπορείτε να βρείτε το Ενημερωτικό Δελτίο και τα συμπληρωματικά έγγραφα που αφορούν το προϊόν, συμπεριλαμβανομένων τυχόν συμπληρωμάτων και των τελικών όρων στην ιστοσελίδα μας https://www.fidelityinternational.com/fidelity-physical-bitcoin-etp-legal-documentation/.</w:t>
      </w:r>
      <w:r>
        <w:rPr xmlns:w="http://schemas.openxmlformats.org/wordprocessingml/2006/main">
          <w:rFonts w:ascii="Arial" w:cs="Arial" w:eastAsia="Arial" w:hAnsi="Arial"/>
          <w:sz w:val="18"/>
          <w:szCs w:val="18"/>
          <w:color w:val="414956"/>
        </w:rPr>
        <w:t xml:space="preserve"> Μπορείτε επίσης να ζητήσετε αντίγραφο αυτών των εγγράφων στην καταστατική έδρα της Fidelity Exchange Trading Products GmbH.</w:t>
      </w:r>
    </w:p>
    <w:p>
      <w:pPr>
        <w:spacing w:after="0" w:line="1" w:lineRule="exact"/>
        <w:rPr>
          <w:sz w:val="20"/>
          <w:szCs w:val="20"/>
          <w:color w:val="auto"/>
        </w:rPr>
      </w:pPr>
    </w:p>
    <w:p>
      <w:pPr xmlns:w="http://schemas.openxmlformats.org/wordprocessingml/2006/main">
        <w:ind w:right="24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Περαιτέρω πληροφορίες σχετικά με τις προηγούμενες επιδόσεις του προϊόντος, συμπεριλαμβανομένων των υπολογισμών προηγούμενων σεναρίων επιδόσεων, οι οποίοι δημοσιεύονται σε μηνιαία βάση, διατίθενται στη διεύθυνση https://www.priipsdocuments.com/Fidelity/?isin=XS2434891219&amp;lang=en&amp;kid=no.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5357495</wp:posOffset>
            </wp:positionH>
            <wp:positionV relativeFrom="paragraph">
              <wp:posOffset>1937385</wp:posOffset>
            </wp:positionV>
            <wp:extent cx="1367790" cy="42926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ectPr>
          <w:pgSz w:w="11900" w:h="16838" w:orient="portrait"/>
          <w:cols w:equalWidth="0" w:num="1">
            <w:col w:w="10600"/>
          </w:cols>
          <w:pgMar w:left="640" w:top="80" w:right="6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414956"/>
        </w:rPr>
        <w:t xml:space="preserve">3/3</w:t>
      </w:r>
    </w:p>
    <w:sectPr>
      <w:pgSz w:w="11900" w:h="16838" w:orient="portrait"/>
      <w:cols w:equalWidth="0" w:num="1">
        <w:col w:w="10600"/>
      </w:cols>
      <w:pgMar w:left="640" w:top="80" w:right="6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0FFA3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2024-05-20T11:12:49Z</dcterms:created>
  <dcterms:modified xsi:type="dcterms:W3CDTF">2024-05-20T11:12:49Z</dcterms:modified>
</cp:coreProperties>
</file>